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AB3E" w14:textId="77777777" w:rsidR="007E6CF4" w:rsidRDefault="007E6CF4" w:rsidP="00D43088">
      <w:pPr>
        <w:spacing w:after="0" w:line="259" w:lineRule="auto"/>
        <w:jc w:val="center"/>
        <w:rPr>
          <w:rFonts w:ascii="Tahoma" w:hAnsi="Tahoma" w:cs="Tahoma"/>
          <w:b/>
          <w:bCs/>
        </w:rPr>
      </w:pPr>
    </w:p>
    <w:p w14:paraId="5EFC99D6" w14:textId="2F2DAEEE" w:rsidR="00D43088" w:rsidRPr="007E6CF4" w:rsidRDefault="00D43088" w:rsidP="00D43088">
      <w:pPr>
        <w:spacing w:after="0" w:line="259" w:lineRule="auto"/>
        <w:jc w:val="center"/>
        <w:rPr>
          <w:rFonts w:ascii="Tahoma" w:hAnsi="Tahoma" w:cs="Tahoma"/>
          <w:b/>
          <w:bCs/>
          <w:sz w:val="28"/>
          <w:szCs w:val="28"/>
        </w:rPr>
      </w:pPr>
      <w:r w:rsidRPr="007E6CF4">
        <w:rPr>
          <w:rFonts w:ascii="Tahoma" w:hAnsi="Tahoma" w:cs="Tahoma"/>
          <w:b/>
          <w:bCs/>
          <w:sz w:val="28"/>
          <w:szCs w:val="28"/>
        </w:rPr>
        <w:t>TRIMEDX &amp; OSF HealthCare partner to advance clinical asset performance and patient care</w:t>
      </w:r>
    </w:p>
    <w:p w14:paraId="1BA69710" w14:textId="608FF4CD" w:rsidR="00D43088" w:rsidRPr="00120656" w:rsidRDefault="00120656" w:rsidP="00D43088">
      <w:pPr>
        <w:pStyle w:val="BodyText"/>
        <w:spacing w:after="0" w:line="259" w:lineRule="auto"/>
        <w:jc w:val="center"/>
        <w:rPr>
          <w:rFonts w:ascii="Tahoma" w:hAnsi="Tahoma" w:cs="Tahoma"/>
          <w:i/>
          <w:iCs/>
          <w:sz w:val="22"/>
          <w:szCs w:val="22"/>
        </w:rPr>
      </w:pPr>
      <w:r>
        <w:rPr>
          <w:rFonts w:ascii="Tahoma" w:hAnsi="Tahoma" w:cs="Tahoma"/>
          <w:i/>
          <w:iCs/>
        </w:rPr>
        <w:br/>
      </w:r>
      <w:r w:rsidR="00D43088" w:rsidRPr="00120656">
        <w:rPr>
          <w:rFonts w:ascii="Tahoma" w:hAnsi="Tahoma" w:cs="Tahoma"/>
          <w:i/>
          <w:iCs/>
          <w:sz w:val="22"/>
          <w:szCs w:val="22"/>
        </w:rPr>
        <w:t>Collaboration will leverage AI-powered insights and clinical engineering expertise to optimize healthcare technology and enhance patient care</w:t>
      </w:r>
    </w:p>
    <w:p w14:paraId="60FDFF00" w14:textId="77777777" w:rsidR="00D43088" w:rsidRDefault="00D43088" w:rsidP="00D43088">
      <w:pPr>
        <w:pStyle w:val="BodyText"/>
        <w:spacing w:after="0"/>
        <w:jc w:val="center"/>
        <w:rPr>
          <w:rFonts w:ascii="Tahoma" w:hAnsi="Tahoma" w:cs="Tahoma"/>
          <w:i/>
          <w:iCs/>
        </w:rPr>
      </w:pPr>
    </w:p>
    <w:p w14:paraId="217354FB" w14:textId="77777777" w:rsidR="00120656" w:rsidRPr="007E6CF4" w:rsidRDefault="00120656" w:rsidP="00D43088">
      <w:pPr>
        <w:pStyle w:val="BodyText"/>
        <w:spacing w:after="0"/>
        <w:jc w:val="center"/>
        <w:rPr>
          <w:rFonts w:ascii="Tahoma" w:hAnsi="Tahoma" w:cs="Tahoma"/>
          <w:i/>
          <w:iCs/>
        </w:rPr>
      </w:pPr>
    </w:p>
    <w:p w14:paraId="0B2C9A11" w14:textId="6EED30AA" w:rsidR="00D43088" w:rsidRPr="007E6CF4" w:rsidRDefault="00D43088" w:rsidP="00D43088">
      <w:pPr>
        <w:rPr>
          <w:rFonts w:ascii="Tahoma" w:hAnsi="Tahoma" w:cs="Tahoma"/>
        </w:rPr>
      </w:pPr>
      <w:r w:rsidRPr="007E6CF4">
        <w:rPr>
          <w:rFonts w:ascii="Tahoma" w:hAnsi="Tahoma" w:cs="Tahoma"/>
        </w:rPr>
        <w:t xml:space="preserve">INDIANAPOLIS – JUNE XX, 2026 - TRIMEDX—an industry-leading, independent clinical asset management company delivering comprehensive clinical engineering services, clinical asset informatics, medical device cybersecurity, and AI-powered healthcare technology solutions—is pleased to announce a new partnership with </w:t>
      </w:r>
      <w:r w:rsidR="007E6CF4" w:rsidRPr="007E6CF4">
        <w:rPr>
          <w:rFonts w:ascii="Tahoma" w:hAnsi="Tahoma" w:cs="Tahoma"/>
          <w:color w:val="FF0000"/>
        </w:rPr>
        <w:t xml:space="preserve">Peoria, Illinois-based </w:t>
      </w:r>
      <w:r w:rsidRPr="007E6CF4">
        <w:rPr>
          <w:rFonts w:ascii="Tahoma" w:hAnsi="Tahoma" w:cs="Tahoma"/>
        </w:rPr>
        <w:t xml:space="preserve">OSF HealthCare. Together, the organizations will help unlock the full potential of </w:t>
      </w:r>
      <w:r w:rsidRPr="007E6CF4">
        <w:rPr>
          <w:rFonts w:ascii="Tahoma" w:hAnsi="Tahoma" w:cs="Tahoma"/>
          <w:color w:val="FF0000"/>
        </w:rPr>
        <w:t>clinical assets</w:t>
      </w:r>
      <w:r w:rsidR="007E6CF4" w:rsidRPr="007E6CF4">
        <w:rPr>
          <w:rFonts w:ascii="Tahoma" w:hAnsi="Tahoma" w:cs="Tahoma"/>
          <w:color w:val="FF0000"/>
        </w:rPr>
        <w:t xml:space="preserve"> at OSF HealthCare</w:t>
      </w:r>
      <w:r w:rsidRPr="007E6CF4">
        <w:rPr>
          <w:rFonts w:ascii="Tahoma" w:hAnsi="Tahoma" w:cs="Tahoma"/>
        </w:rPr>
        <w:t>, enabling greater operational efficiency and improving patient care and outcomes each day. </w:t>
      </w:r>
    </w:p>
    <w:p w14:paraId="491F2357" w14:textId="702EF046" w:rsidR="00D43088" w:rsidRPr="007E6CF4" w:rsidRDefault="00D43088" w:rsidP="00D43088">
      <w:pPr>
        <w:rPr>
          <w:rFonts w:ascii="Tahoma" w:hAnsi="Tahoma" w:cs="Tahoma"/>
        </w:rPr>
      </w:pPr>
      <w:r w:rsidRPr="007E6CF4">
        <w:rPr>
          <w:rFonts w:ascii="Tahoma" w:hAnsi="Tahoma" w:cs="Tahoma"/>
        </w:rPr>
        <w:t xml:space="preserve">This partnership combines </w:t>
      </w:r>
      <w:r w:rsidR="007E6CF4" w:rsidRPr="007E6CF4">
        <w:rPr>
          <w:rFonts w:ascii="Tahoma" w:hAnsi="Tahoma" w:cs="Tahoma"/>
          <w:color w:val="FF0000"/>
        </w:rPr>
        <w:t xml:space="preserve">the </w:t>
      </w:r>
      <w:r w:rsidRPr="007E6CF4">
        <w:rPr>
          <w:rFonts w:ascii="Tahoma" w:hAnsi="Tahoma" w:cs="Tahoma"/>
          <w:color w:val="FF0000"/>
        </w:rPr>
        <w:t>commitment</w:t>
      </w:r>
      <w:r w:rsidR="007E6CF4" w:rsidRPr="007E6CF4">
        <w:rPr>
          <w:rFonts w:ascii="Tahoma" w:hAnsi="Tahoma" w:cs="Tahoma"/>
          <w:color w:val="FF0000"/>
        </w:rPr>
        <w:t xml:space="preserve"> of </w:t>
      </w:r>
      <w:r w:rsidR="007E6CF4" w:rsidRPr="007E6CF4">
        <w:rPr>
          <w:rFonts w:ascii="Tahoma" w:hAnsi="Tahoma" w:cs="Tahoma"/>
          <w:color w:val="FF0000"/>
        </w:rPr>
        <w:t>OSF HealthCare</w:t>
      </w:r>
      <w:r w:rsidR="007E6CF4" w:rsidRPr="007E6CF4">
        <w:rPr>
          <w:rFonts w:ascii="Tahoma" w:hAnsi="Tahoma" w:cs="Tahoma"/>
        </w:rPr>
        <w:t xml:space="preserve"> </w:t>
      </w:r>
      <w:r w:rsidRPr="007E6CF4">
        <w:rPr>
          <w:rFonts w:ascii="Tahoma" w:hAnsi="Tahoma" w:cs="Tahoma"/>
        </w:rPr>
        <w:t>to clinical excellence with TRIMEDX’s deep expertise in healthcare technology management, advanced analytics, and AI-powered insights.  Leveraging more than 25 years of clinical engineering expertise and one of the industry’s most comprehensive datasets on medical device performance, the organizations will work together to optimize equipment reliability, strengthen cybersecurity, improve asset visibility, and maximize the value of medical equipment investments. </w:t>
      </w:r>
    </w:p>
    <w:p w14:paraId="4A9B9E0A" w14:textId="77777777" w:rsidR="00D43088" w:rsidRPr="007E6CF4" w:rsidRDefault="00D43088" w:rsidP="00D43088">
      <w:pPr>
        <w:rPr>
          <w:rFonts w:ascii="Tahoma" w:hAnsi="Tahoma" w:cs="Tahoma"/>
        </w:rPr>
      </w:pPr>
      <w:r w:rsidRPr="007E6CF4">
        <w:rPr>
          <w:rFonts w:ascii="Tahoma" w:hAnsi="Tahoma" w:cs="Tahoma"/>
        </w:rPr>
        <w:t>“We’re proud to partner with OSF HealthCare to help advance their mission of delivering outstanding patient care,” says TRIMEDX CEO Neil de Crescenzo.  “Healthcare organizations today need more than equipment maintenance – they need trusted partners who can turn data into action and technology into strategic advantage.  By combining our clinical engineering expertise with AI-powered intelligence and deep operational insights, we’re helping providers make smarter decisions, improve performance, and create more resilient healthcare environments.”  </w:t>
      </w:r>
    </w:p>
    <w:p w14:paraId="2D976847" w14:textId="77777777" w:rsidR="007E6CF4" w:rsidRPr="007E6CF4" w:rsidRDefault="00D43088" w:rsidP="00D43088">
      <w:pPr>
        <w:rPr>
          <w:rFonts w:ascii="Tahoma" w:hAnsi="Tahoma" w:cs="Tahoma"/>
          <w:color w:val="FF0000"/>
        </w:rPr>
      </w:pPr>
      <w:r w:rsidRPr="007E6CF4">
        <w:rPr>
          <w:rFonts w:ascii="Tahoma" w:hAnsi="Tahoma" w:cs="Tahoma"/>
        </w:rPr>
        <w:t xml:space="preserve">“We are excited to partner with the TRIMEDX team for the comprehensive management and optimization of our medical device inventory,” says Brian Harms, Chief Administrative Officer for Pointcore, a wholly-owned subsidiary of  OSF </w:t>
      </w:r>
      <w:r w:rsidRPr="007E6CF4">
        <w:rPr>
          <w:rFonts w:ascii="Tahoma" w:hAnsi="Tahoma" w:cs="Tahoma"/>
          <w:color w:val="FF0000"/>
        </w:rPr>
        <w:t>Health</w:t>
      </w:r>
      <w:r w:rsidR="007E6CF4" w:rsidRPr="007E6CF4">
        <w:rPr>
          <w:rFonts w:ascii="Tahoma" w:hAnsi="Tahoma" w:cs="Tahoma"/>
          <w:color w:val="FF0000"/>
        </w:rPr>
        <w:t>C</w:t>
      </w:r>
      <w:r w:rsidRPr="007E6CF4">
        <w:rPr>
          <w:rFonts w:ascii="Tahoma" w:hAnsi="Tahoma" w:cs="Tahoma"/>
          <w:color w:val="FF0000"/>
        </w:rPr>
        <w:t>are</w:t>
      </w:r>
      <w:r w:rsidRPr="007E6CF4">
        <w:rPr>
          <w:rFonts w:ascii="Tahoma" w:hAnsi="Tahoma" w:cs="Tahoma"/>
          <w:b/>
          <w:bCs/>
          <w:color w:val="FF0000"/>
        </w:rPr>
        <w:t>.</w:t>
      </w:r>
      <w:r w:rsidRPr="007E6CF4">
        <w:rPr>
          <w:rFonts w:ascii="Tahoma" w:hAnsi="Tahoma" w:cs="Tahoma"/>
          <w:color w:val="FF0000"/>
        </w:rPr>
        <w:t xml:space="preserve"> </w:t>
      </w:r>
    </w:p>
    <w:p w14:paraId="4F0AD2E1" w14:textId="187A7998" w:rsidR="00D43088" w:rsidRPr="007E6CF4" w:rsidRDefault="00D43088" w:rsidP="00D43088">
      <w:pPr>
        <w:rPr>
          <w:rFonts w:ascii="Tahoma" w:hAnsi="Tahoma" w:cs="Tahoma"/>
          <w:color w:val="FF0000"/>
        </w:rPr>
      </w:pPr>
      <w:r w:rsidRPr="007E6CF4">
        <w:rPr>
          <w:rFonts w:ascii="Tahoma" w:hAnsi="Tahoma" w:cs="Tahoma"/>
        </w:rPr>
        <w:t>“This partnership represents our commitment to providing the highest quality of care to our patients. Through this relationship with TRIMEDX, we will ensure our clinicians have access to the tools and equipment they need to best serve their patients—all while using the latest technology and processes to bolster our defenses against the ever-growing number of cyberattacks on healthcare organizations</w:t>
      </w:r>
      <w:r w:rsidR="007E6CF4" w:rsidRPr="007E6CF4">
        <w:rPr>
          <w:rFonts w:ascii="Tahoma" w:hAnsi="Tahoma" w:cs="Tahoma"/>
          <w:color w:val="FF0000"/>
        </w:rPr>
        <w:t xml:space="preserve">, </w:t>
      </w:r>
      <w:r w:rsidRPr="007E6CF4">
        <w:rPr>
          <w:rFonts w:ascii="Tahoma" w:hAnsi="Tahoma" w:cs="Tahoma"/>
        </w:rPr>
        <w:t xml:space="preserve">” </w:t>
      </w:r>
      <w:r w:rsidR="007E6CF4" w:rsidRPr="007E6CF4">
        <w:rPr>
          <w:rFonts w:ascii="Tahoma" w:hAnsi="Tahoma" w:cs="Tahoma"/>
          <w:color w:val="FF0000"/>
        </w:rPr>
        <w:t xml:space="preserve">added </w:t>
      </w:r>
      <w:r w:rsidRPr="007E6CF4">
        <w:rPr>
          <w:rFonts w:ascii="Tahoma" w:hAnsi="Tahoma" w:cs="Tahoma"/>
          <w:color w:val="FF0000"/>
        </w:rPr>
        <w:t>Eric Webb</w:t>
      </w:r>
      <w:r w:rsidR="007E6CF4" w:rsidRPr="007E6CF4">
        <w:rPr>
          <w:rFonts w:ascii="Tahoma" w:hAnsi="Tahoma" w:cs="Tahoma"/>
          <w:color w:val="FF0000"/>
        </w:rPr>
        <w:t xml:space="preserve">, the </w:t>
      </w:r>
      <w:r w:rsidR="007E6CF4" w:rsidRPr="007E6CF4">
        <w:rPr>
          <w:rFonts w:ascii="Tahoma" w:hAnsi="Tahoma" w:cs="Tahoma"/>
          <w:color w:val="FF0000"/>
        </w:rPr>
        <w:t>Chief Development Officer</w:t>
      </w:r>
      <w:r w:rsidR="007E6CF4" w:rsidRPr="007E6CF4">
        <w:rPr>
          <w:rFonts w:ascii="Tahoma" w:hAnsi="Tahoma" w:cs="Tahoma"/>
          <w:color w:val="FF0000"/>
        </w:rPr>
        <w:t xml:space="preserve"> for Pointcore.</w:t>
      </w:r>
    </w:p>
    <w:p w14:paraId="6D48D522" w14:textId="77777777" w:rsidR="00D43088" w:rsidRDefault="00D43088" w:rsidP="00D43088">
      <w:pPr>
        <w:rPr>
          <w:rFonts w:ascii="Tahoma" w:hAnsi="Tahoma" w:cs="Tahoma"/>
        </w:rPr>
      </w:pPr>
      <w:r w:rsidRPr="007E6CF4">
        <w:rPr>
          <w:rFonts w:ascii="Tahoma" w:hAnsi="Tahoma" w:cs="Tahoma"/>
        </w:rPr>
        <w:t>The partnership is now underway and will continue to evolve through new initiatives designed to optimize healthcare technology, improve operational performance, strengthen cybersecurity, and support exceptional patient care across the OSF system.</w:t>
      </w:r>
    </w:p>
    <w:p w14:paraId="31531C41" w14:textId="19C69065" w:rsidR="00120656" w:rsidRPr="00120656" w:rsidRDefault="00120656" w:rsidP="00120656">
      <w:pPr>
        <w:pStyle w:val="BodyText"/>
        <w:jc w:val="center"/>
      </w:pPr>
      <w:r>
        <w:t># # #</w:t>
      </w:r>
    </w:p>
    <w:p w14:paraId="4A434204" w14:textId="77777777" w:rsidR="00120656" w:rsidRDefault="00120656" w:rsidP="00D43088">
      <w:pPr>
        <w:rPr>
          <w:rFonts w:ascii="Tahoma" w:hAnsi="Tahoma" w:cs="Tahoma"/>
          <w:b/>
          <w:bCs/>
        </w:rPr>
      </w:pPr>
    </w:p>
    <w:p w14:paraId="1E255990" w14:textId="66DD1388" w:rsidR="00D43088" w:rsidRPr="007E6CF4" w:rsidRDefault="00D43088" w:rsidP="00D43088">
      <w:pPr>
        <w:rPr>
          <w:rFonts w:ascii="Tahoma" w:hAnsi="Tahoma" w:cs="Tahoma"/>
        </w:rPr>
      </w:pPr>
      <w:r w:rsidRPr="007E6CF4">
        <w:rPr>
          <w:rFonts w:ascii="Tahoma" w:hAnsi="Tahoma" w:cs="Tahoma"/>
          <w:b/>
          <w:bCs/>
        </w:rPr>
        <w:t>About TRIMEDX</w:t>
      </w:r>
      <w:r w:rsidRPr="007E6CF4">
        <w:rPr>
          <w:rFonts w:ascii="Tahoma" w:hAnsi="Tahoma" w:cs="Tahoma"/>
        </w:rPr>
        <w:t> </w:t>
      </w:r>
    </w:p>
    <w:p w14:paraId="19E9A57C" w14:textId="77777777" w:rsidR="00D43088" w:rsidRPr="00120656" w:rsidRDefault="00D43088" w:rsidP="00D43088">
      <w:pPr>
        <w:pStyle w:val="BodyText"/>
        <w:rPr>
          <w:rFonts w:ascii="Tahoma" w:eastAsiaTheme="minorEastAsia" w:hAnsi="Tahoma" w:cs="Tahoma"/>
        </w:rPr>
      </w:pPr>
      <w:r w:rsidRPr="00120656">
        <w:rPr>
          <w:rFonts w:ascii="Tahoma" w:eastAsiaTheme="minorEastAsia" w:hAnsi="Tahoma" w:cs="Tahoma"/>
          <w:color w:val="212721"/>
        </w:rPr>
        <w:t>TRIMEDX is an industry-leading, independent clinical asset management company delivering comprehensive clinical engineering services, clinical asset informatics, and medical device cybersecurity. Powered by the industry’s most advanced AI-native clinical asset intelligence offering, TRIMEDX helps healthcare providers transform clinical assets into strategic tools, driving reductions in operational expenses, optimizing clinical asset capital spend, maximizing resources for patient care, and enhancing safety &amp; protection. Built by providers for providers, TRIMEDX leverages a history of expert clinical engineering with data on 90-95% of in-use medical equipment in the United States.</w:t>
      </w:r>
    </w:p>
    <w:p w14:paraId="337E340E" w14:textId="3464BA80" w:rsidR="00D43088" w:rsidRPr="00120656" w:rsidRDefault="00D43088" w:rsidP="00D43088">
      <w:pPr>
        <w:rPr>
          <w:rFonts w:ascii="Tahoma" w:hAnsi="Tahoma" w:cs="Tahoma"/>
          <w:b/>
          <w:bCs/>
        </w:rPr>
      </w:pPr>
      <w:r w:rsidRPr="00120656">
        <w:rPr>
          <w:rFonts w:ascii="Tahoma" w:hAnsi="Tahoma" w:cs="Tahoma"/>
          <w:b/>
          <w:bCs/>
        </w:rPr>
        <w:lastRenderedPageBreak/>
        <w:t xml:space="preserve">About </w:t>
      </w:r>
      <w:r w:rsidR="007E6CF4" w:rsidRPr="00120656">
        <w:rPr>
          <w:rFonts w:ascii="Tahoma" w:hAnsi="Tahoma" w:cs="Tahoma"/>
          <w:b/>
          <w:bCs/>
        </w:rPr>
        <w:t>OSF HealthCare</w:t>
      </w:r>
    </w:p>
    <w:p w14:paraId="48D86337" w14:textId="636D3DC3" w:rsidR="007E6CF4" w:rsidRPr="00120656" w:rsidRDefault="007E6CF4" w:rsidP="007E6CF4">
      <w:pPr>
        <w:pStyle w:val="NoSpacing"/>
        <w:rPr>
          <w:rFonts w:ascii="Tahoma" w:hAnsi="Tahoma" w:cs="Tahoma"/>
          <w:sz w:val="20"/>
          <w:szCs w:val="20"/>
        </w:rPr>
      </w:pPr>
      <w:r w:rsidRPr="00120656">
        <w:rPr>
          <w:rFonts w:ascii="Tahoma" w:hAnsi="Tahoma" w:cs="Tahoma"/>
          <w:sz w:val="20"/>
          <w:szCs w:val="20"/>
        </w:rPr>
        <w:t>OSF HealthCare is an integrated health system founded by The Sisters of the Third Order of St. Francis and headquartered in Peoria, Illinois. The system includes 18 inpatient facilities encompassing 16 licensed hospitals, two of which operate dual campuses in separate communities. Among these hospitals, 10 are acute care facilities, five are critical access hospitals and one is a continuing care facility. OSF has 2,141 licensed beds throughout Illinois and Michigan and employs more than 27,000 Mission Partners across 170+ locations. These include OSF HealthCare Children’s Hospital of Illinois, the third largest pediatric hospital in the state, and OSF OnCall, its digital health operating entity that offers hospital-at-home care. In addition, OSF operates two colleges of nursing; OSF Home Care Services, an extensive network of home health and hospice services; Pointcore, Inc., which is composed of health care-related businesses; and OSF HealthCare Foundation, the philanthropic arm of the organization. Advances in health care transformation take place through OSF Innovation as well as OSF Ventures, which provides investment capital for promising health care innovation startups.</w:t>
      </w:r>
      <w:r w:rsidRPr="00120656">
        <w:rPr>
          <w:rFonts w:ascii="Tahoma" w:hAnsi="Tahoma" w:cs="Tahoma"/>
          <w:sz w:val="20"/>
          <w:szCs w:val="20"/>
        </w:rPr>
        <w:t xml:space="preserve"> </w:t>
      </w:r>
      <w:r w:rsidRPr="00120656">
        <w:rPr>
          <w:rFonts w:ascii="Tahoma" w:hAnsi="Tahoma" w:cs="Tahoma"/>
          <w:sz w:val="20"/>
          <w:szCs w:val="20"/>
        </w:rPr>
        <w:t xml:space="preserve">OSF HealthCare has been recognized by Fortune as one of the most innovative companies in the country and by Forbes as one of America’s Best Employers for Healthcare Professionals. Learn more at </w:t>
      </w:r>
      <w:hyperlink r:id="rId6" w:history="1">
        <w:r w:rsidRPr="00120656">
          <w:rPr>
            <w:rStyle w:val="Hyperlink"/>
            <w:rFonts w:ascii="Tahoma" w:hAnsi="Tahoma" w:cs="Tahoma"/>
            <w:sz w:val="20"/>
            <w:szCs w:val="20"/>
          </w:rPr>
          <w:t>osfhealthcare.org</w:t>
        </w:r>
      </w:hyperlink>
      <w:r w:rsidRPr="00120656">
        <w:rPr>
          <w:rFonts w:ascii="Tahoma" w:hAnsi="Tahoma" w:cs="Tahoma"/>
          <w:sz w:val="20"/>
          <w:szCs w:val="20"/>
        </w:rPr>
        <w:t xml:space="preserve">.  </w:t>
      </w:r>
    </w:p>
    <w:p w14:paraId="7B4F648D" w14:textId="77777777" w:rsidR="007E6CF4" w:rsidRPr="00120656" w:rsidRDefault="007E6CF4" w:rsidP="007E6CF4">
      <w:pPr>
        <w:pStyle w:val="BodyText"/>
      </w:pPr>
    </w:p>
    <w:p w14:paraId="0B4D7312" w14:textId="77777777" w:rsidR="00D43088" w:rsidRPr="00120656" w:rsidRDefault="00D43088" w:rsidP="00D43088">
      <w:pPr>
        <w:rPr>
          <w:rFonts w:ascii="Tahoma" w:hAnsi="Tahoma" w:cs="Tahoma"/>
        </w:rPr>
      </w:pPr>
    </w:p>
    <w:p w14:paraId="2C7C6D73" w14:textId="77777777" w:rsidR="001C2B16" w:rsidRPr="007E6CF4" w:rsidRDefault="001C2B16">
      <w:pPr>
        <w:rPr>
          <w:rFonts w:ascii="Tahoma" w:hAnsi="Tahoma" w:cs="Tahoma"/>
        </w:rPr>
      </w:pPr>
    </w:p>
    <w:sectPr w:rsidR="001C2B16" w:rsidRPr="007E6CF4" w:rsidSect="007E6CF4">
      <w:headerReference w:type="even" r:id="rId7"/>
      <w:headerReference w:type="default" r:id="rId8"/>
      <w:footerReference w:type="default" r:id="rId9"/>
      <w:headerReference w:type="first" r:id="rId10"/>
      <w:pgSz w:w="12240" w:h="15840" w:code="1"/>
      <w:pgMar w:top="144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73AEB" w14:textId="77777777" w:rsidR="00DB7A75" w:rsidRDefault="00DB7A75">
      <w:pPr>
        <w:spacing w:after="0"/>
      </w:pPr>
      <w:r>
        <w:separator/>
      </w:r>
    </w:p>
  </w:endnote>
  <w:endnote w:type="continuationSeparator" w:id="0">
    <w:p w14:paraId="4533FB73" w14:textId="77777777" w:rsidR="00DB7A75" w:rsidRDefault="00DB7A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9478" w14:textId="35D23D3F" w:rsidR="00DB7A75" w:rsidRDefault="00120656" w:rsidP="00966F2D">
    <w:pPr>
      <w:pStyle w:val="TRIMEDXDigitalLetterheadFooter"/>
      <w:jc w:val="center"/>
    </w:pPr>
    <w:r>
      <w:rPr>
        <w:noProof/>
      </w:rPr>
      <mc:AlternateContent>
        <mc:Choice Requires="wps">
          <w:drawing>
            <wp:anchor distT="0" distB="0" distL="114300" distR="114300" simplePos="0" relativeHeight="251662336" behindDoc="0" locked="0" layoutInCell="1" allowOverlap="1" wp14:anchorId="42A698E3" wp14:editId="25CC9DE6">
              <wp:simplePos x="0" y="0"/>
              <wp:positionH relativeFrom="page">
                <wp:align>center</wp:align>
              </wp:positionH>
              <wp:positionV relativeFrom="paragraph">
                <wp:posOffset>-8890</wp:posOffset>
              </wp:positionV>
              <wp:extent cx="6849110" cy="365760"/>
              <wp:effectExtent l="0" t="0" r="0" b="0"/>
              <wp:wrapNone/>
              <wp:docPr id="8496196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9110" cy="365760"/>
                      </a:xfrm>
                      <a:prstGeom prst="rect">
                        <a:avLst/>
                      </a:prstGeom>
                      <a:solidFill>
                        <a:schemeClr val="accent1"/>
                      </a:solidFill>
                      <a:ln w="6350">
                        <a:noFill/>
                      </a:ln>
                    </wps:spPr>
                    <wps:txbx>
                      <w:txbxContent>
                        <w:p w14:paraId="356089E4" w14:textId="77777777" w:rsidR="00DB7A75" w:rsidRPr="00B96568" w:rsidRDefault="00DB7A75" w:rsidP="00AE46E6">
                          <w:pPr>
                            <w:spacing w:after="0"/>
                            <w:ind w:right="240"/>
                            <w:jc w:val="right"/>
                            <w:rPr>
                              <w:rFonts w:cs="Calibri"/>
                              <w:b/>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698E3" id="_x0000_t202" coordsize="21600,21600" o:spt="202" path="m,l,21600r21600,l21600,xe">
              <v:stroke joinstyle="miter"/>
              <v:path gradientshapeok="t" o:connecttype="rect"/>
            </v:shapetype>
            <v:shape id="Text Box 3" o:spid="_x0000_s1026" type="#_x0000_t202" style="position:absolute;left:0;text-align:left;margin-left:0;margin-top:-.7pt;width:539.3pt;height:28.8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" fillcolor="#156082 [3204]" stroked="f" strokeweight=".5pt">
              <v:textbox>
                <w:txbxContent>
                  <w:p w14:paraId="356089E4" w14:textId="77777777" w:rsidR="00DB7A75" w:rsidRPr="00B96568" w:rsidRDefault="00DB7A75" w:rsidP="00AE46E6">
                    <w:pPr>
                      <w:spacing w:after="0"/>
                      <w:ind w:right="240"/>
                      <w:jc w:val="right"/>
                      <w:rPr>
                        <w:rFonts w:cs="Calibri"/>
                        <w:b/>
                        <w:color w:val="FFFFFF" w:themeColor="background1"/>
                        <w:sz w:val="16"/>
                        <w:szCs w:val="16"/>
                      </w:rPr>
                    </w:pPr>
                  </w:p>
                </w:txbxContent>
              </v:textbox>
              <w10:wrap anchorx="page"/>
            </v:shape>
          </w:pict>
        </mc:Fallback>
      </mc:AlternateContent>
    </w:r>
    <w:r>
      <w:rPr>
        <w:noProof/>
      </w:rPr>
      <mc:AlternateContent>
        <mc:Choice Requires="wps">
          <w:drawing>
            <wp:anchor distT="0" distB="0" distL="114300" distR="114300" simplePos="0" relativeHeight="251661312" behindDoc="0" locked="0" layoutInCell="1" allowOverlap="1" wp14:anchorId="1E6E522B" wp14:editId="0DB341F7">
              <wp:simplePos x="0" y="0"/>
              <wp:positionH relativeFrom="margin">
                <wp:posOffset>6257925</wp:posOffset>
              </wp:positionH>
              <wp:positionV relativeFrom="paragraph">
                <wp:posOffset>56515</wp:posOffset>
              </wp:positionV>
              <wp:extent cx="609600" cy="219075"/>
              <wp:effectExtent l="0" t="0" r="0" b="0"/>
              <wp:wrapNone/>
              <wp:docPr id="18084110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0" cy="219075"/>
                      </a:xfrm>
                      <a:prstGeom prst="rect">
                        <a:avLst/>
                      </a:prstGeom>
                      <a:noFill/>
                      <a:ln w="6350">
                        <a:noFill/>
                      </a:ln>
                    </wps:spPr>
                    <wps:txbx>
                      <w:txbxContent>
                        <w:p w14:paraId="5892F003" w14:textId="77777777" w:rsidR="00DB7A75" w:rsidRPr="000608AC" w:rsidRDefault="00DB7A75" w:rsidP="0049673E">
                          <w:pPr>
                            <w:jc w:val="center"/>
                            <w:rPr>
                              <w:b/>
                              <w:color w:val="FFFFFF" w:themeColor="background1"/>
                              <w:sz w:val="16"/>
                              <w:szCs w:val="16"/>
                            </w:rPr>
                          </w:pPr>
                          <w:r w:rsidRPr="000608AC">
                            <w:rPr>
                              <w:b/>
                              <w:color w:val="FFFFFF" w:themeColor="background1"/>
                              <w:sz w:val="16"/>
                              <w:szCs w:val="16"/>
                            </w:rPr>
                            <w:fldChar w:fldCharType="begin"/>
                          </w:r>
                          <w:r w:rsidRPr="000608AC">
                            <w:rPr>
                              <w:b/>
                              <w:color w:val="FFFFFF" w:themeColor="background1"/>
                              <w:sz w:val="16"/>
                              <w:szCs w:val="16"/>
                            </w:rPr>
                            <w:instrText xml:space="preserve"> PAGE   \* MERGEFORMAT </w:instrText>
                          </w:r>
                          <w:r w:rsidRPr="000608AC">
                            <w:rPr>
                              <w:b/>
                              <w:color w:val="FFFFFF" w:themeColor="background1"/>
                              <w:sz w:val="16"/>
                              <w:szCs w:val="16"/>
                            </w:rPr>
                            <w:fldChar w:fldCharType="separate"/>
                          </w:r>
                          <w:r>
                            <w:rPr>
                              <w:b/>
                              <w:noProof/>
                              <w:color w:val="FFFFFF" w:themeColor="background1"/>
                              <w:sz w:val="16"/>
                              <w:szCs w:val="16"/>
                            </w:rPr>
                            <w:t>1</w:t>
                          </w:r>
                          <w:r w:rsidRPr="000608AC">
                            <w:rPr>
                              <w:b/>
                              <w:noProof/>
                              <w:color w:val="FFFFFF" w:themeColor="background1"/>
                              <w:sz w:val="16"/>
                              <w:szCs w:val="16"/>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E522B" id="Text Box 1" o:spid="_x0000_s1027" type="#_x0000_t202" style="position:absolute;left:0;text-align:left;margin-left:492.75pt;margin-top:4.45pt;width:48pt;height:1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" filled="f" stroked="f" strokeweight=".5pt">
              <v:textbox>
                <w:txbxContent>
                  <w:p w14:paraId="5892F003" w14:textId="77777777" w:rsidR="00DB7A75" w:rsidRPr="000608AC" w:rsidRDefault="00DB7A75" w:rsidP="0049673E">
                    <w:pPr>
                      <w:jc w:val="center"/>
                      <w:rPr>
                        <w:b/>
                        <w:color w:val="FFFFFF" w:themeColor="background1"/>
                        <w:sz w:val="16"/>
                        <w:szCs w:val="16"/>
                      </w:rPr>
                    </w:pPr>
                    <w:r w:rsidRPr="000608AC">
                      <w:rPr>
                        <w:b/>
                        <w:color w:val="FFFFFF" w:themeColor="background1"/>
                        <w:sz w:val="16"/>
                        <w:szCs w:val="16"/>
                      </w:rPr>
                      <w:fldChar w:fldCharType="begin"/>
                    </w:r>
                    <w:r w:rsidRPr="000608AC">
                      <w:rPr>
                        <w:b/>
                        <w:color w:val="FFFFFF" w:themeColor="background1"/>
                        <w:sz w:val="16"/>
                        <w:szCs w:val="16"/>
                      </w:rPr>
                      <w:instrText xml:space="preserve"> PAGE   \* MERGEFORMAT </w:instrText>
                    </w:r>
                    <w:r w:rsidRPr="000608AC">
                      <w:rPr>
                        <w:b/>
                        <w:color w:val="FFFFFF" w:themeColor="background1"/>
                        <w:sz w:val="16"/>
                        <w:szCs w:val="16"/>
                      </w:rPr>
                      <w:fldChar w:fldCharType="separate"/>
                    </w:r>
                    <w:r>
                      <w:rPr>
                        <w:b/>
                        <w:noProof/>
                        <w:color w:val="FFFFFF" w:themeColor="background1"/>
                        <w:sz w:val="16"/>
                        <w:szCs w:val="16"/>
                      </w:rPr>
                      <w:t>1</w:t>
                    </w:r>
                    <w:r w:rsidRPr="000608AC">
                      <w:rPr>
                        <w:b/>
                        <w:noProof/>
                        <w:color w:val="FFFFFF" w:themeColor="background1"/>
                        <w:sz w:val="16"/>
                        <w:szCs w:val="16"/>
                      </w:rPr>
                      <w:fldChar w:fldCharType="end"/>
                    </w:r>
                  </w:p>
                </w:txbxContent>
              </v:textbox>
              <w10:wrap anchorx="margin"/>
            </v:shape>
          </w:pict>
        </mc:Fallback>
      </mc:AlternateContent>
    </w:r>
  </w:p>
  <w:p w14:paraId="655486D9" w14:textId="77777777" w:rsidR="00DB7A75" w:rsidRDefault="00DB7A75" w:rsidP="00966F2D">
    <w:pPr>
      <w:pStyle w:val="TRIMEDXDigitalLetterheadFooter"/>
      <w:tabs>
        <w:tab w:val="left" w:pos="294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9A2B6" w14:textId="77777777" w:rsidR="00DB7A75" w:rsidRDefault="00DB7A75">
      <w:pPr>
        <w:spacing w:after="0"/>
      </w:pPr>
      <w:r>
        <w:separator/>
      </w:r>
    </w:p>
  </w:footnote>
  <w:footnote w:type="continuationSeparator" w:id="0">
    <w:p w14:paraId="73938466" w14:textId="77777777" w:rsidR="00DB7A75" w:rsidRDefault="00DB7A7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CAC66" w14:textId="77777777" w:rsidR="00DB7A75" w:rsidRDefault="00DB7A75">
    <w:pPr>
      <w:pStyle w:val="Header"/>
    </w:pPr>
    <w:r>
      <w:rPr>
        <w:noProof/>
      </w:rPr>
      <w:pict w14:anchorId="35442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94741218" o:spid="_x0000_s1026" type="#_x0000_t75" style="position:absolute;margin-left:0;margin-top:0;width:156.05pt;height:652.05pt;z-index:-251656192;mso-position-horizontal:center;mso-position-horizontal-relative:margin;mso-position-vertical:center;mso-position-vertical-relative:margin" o:allowincell="f">
          <v:imagedata r:id="rId1" o:title="TRM Logo_Color CG10C_B3C - RGB-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3458E" w14:textId="77777777" w:rsidR="00DB7A75" w:rsidRDefault="00DB7A75" w:rsidP="006E10B8">
    <w:pPr>
      <w:pStyle w:val="Header"/>
      <w:tabs>
        <w:tab w:val="left" w:pos="2520"/>
      </w:tabs>
    </w:pPr>
    <w:r>
      <w:t>TRIMEDX</w:t>
    </w:r>
  </w:p>
  <w:p w14:paraId="22704BD4" w14:textId="77777777" w:rsidR="00DB7A75" w:rsidRDefault="00DB7A75" w:rsidP="006E10B8">
    <w:pPr>
      <w:pStyle w:val="Header"/>
      <w:tabs>
        <w:tab w:val="left" w:pos="2520"/>
      </w:tabs>
    </w:pPr>
    <w:r>
      <w:t>5451 Lakeview Pkwy S Dr</w:t>
    </w:r>
  </w:p>
  <w:p w14:paraId="4919C56E" w14:textId="77777777" w:rsidR="00DB7A75" w:rsidRPr="002849F9" w:rsidRDefault="00DB7A75" w:rsidP="006E10B8">
    <w:pPr>
      <w:pStyle w:val="Header"/>
      <w:tabs>
        <w:tab w:val="left" w:pos="2520"/>
      </w:tabs>
    </w:pPr>
    <w:r>
      <w:t>Indianapolis, IN 46268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26325" w14:textId="77777777" w:rsidR="00DB7A75" w:rsidRDefault="00DB7A75">
    <w:pPr>
      <w:pStyle w:val="Header"/>
    </w:pPr>
    <w:r>
      <w:rPr>
        <w:noProof/>
      </w:rPr>
      <w:pict w14:anchorId="1368C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94741217" o:spid="_x0000_s1025" type="#_x0000_t75" style="position:absolute;margin-left:0;margin-top:0;width:156.05pt;height:652.05pt;z-index:-251657216;mso-position-horizontal:center;mso-position-horizontal-relative:margin;mso-position-vertical:center;mso-position-vertical-relative:margin" o:allowincell="f">
          <v:imagedata r:id="rId1" o:title="TRM Logo_Color CG10C_B3C - RGB-02"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88"/>
    <w:rsid w:val="00120656"/>
    <w:rsid w:val="001C2B16"/>
    <w:rsid w:val="00384853"/>
    <w:rsid w:val="0047532A"/>
    <w:rsid w:val="004C589D"/>
    <w:rsid w:val="007E6CF4"/>
    <w:rsid w:val="00965A7F"/>
    <w:rsid w:val="00AC7ED5"/>
    <w:rsid w:val="00D43088"/>
    <w:rsid w:val="00DB7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6A261"/>
  <w15:chartTrackingRefBased/>
  <w15:docId w15:val="{7D664E3B-B1DA-485B-ADCA-FA294908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RIMEDX Brand Styles - Calibri"/>
    <w:next w:val="BodyText"/>
    <w:qFormat/>
    <w:rsid w:val="00D43088"/>
    <w:pPr>
      <w:spacing w:after="200" w:line="240" w:lineRule="auto"/>
    </w:pPr>
    <w:rPr>
      <w:rFonts w:cstheme="minorBidi"/>
      <w:kern w:val="0"/>
      <w:sz w:val="20"/>
      <w:szCs w:val="20"/>
    </w:rPr>
  </w:style>
  <w:style w:type="paragraph" w:styleId="Heading1">
    <w:name w:val="heading 1"/>
    <w:basedOn w:val="Normal"/>
    <w:next w:val="Normal"/>
    <w:link w:val="Heading1Char"/>
    <w:uiPriority w:val="9"/>
    <w:qFormat/>
    <w:rsid w:val="00D4308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D4308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D4308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D4308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rPr>
  </w:style>
  <w:style w:type="paragraph" w:styleId="Heading5">
    <w:name w:val="heading 5"/>
    <w:basedOn w:val="Normal"/>
    <w:next w:val="Normal"/>
    <w:link w:val="Heading5Char"/>
    <w:uiPriority w:val="9"/>
    <w:semiHidden/>
    <w:unhideWhenUsed/>
    <w:qFormat/>
    <w:rsid w:val="00D4308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rPr>
  </w:style>
  <w:style w:type="paragraph" w:styleId="Heading6">
    <w:name w:val="heading 6"/>
    <w:basedOn w:val="Normal"/>
    <w:next w:val="Normal"/>
    <w:link w:val="Heading6Char"/>
    <w:uiPriority w:val="9"/>
    <w:semiHidden/>
    <w:unhideWhenUsed/>
    <w:qFormat/>
    <w:rsid w:val="00D43088"/>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D43088"/>
    <w:pPr>
      <w:keepNext/>
      <w:keepLines/>
      <w:spacing w:before="40" w:after="0" w:line="259" w:lineRule="auto"/>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D43088"/>
    <w:pPr>
      <w:keepNext/>
      <w:keepLines/>
      <w:spacing w:after="0" w:line="259" w:lineRule="auto"/>
      <w:outlineLvl w:val="7"/>
    </w:pPr>
    <w:rPr>
      <w:rFonts w:asciiTheme="minorHAnsi" w:eastAsiaTheme="majorEastAsia" w:hAnsiTheme="minorHAnsi" w:cstheme="majorBidi"/>
      <w:i/>
      <w:iCs/>
      <w:color w:val="272727" w:themeColor="text1" w:themeTint="D8"/>
      <w:kern w:val="2"/>
      <w:sz w:val="22"/>
      <w:szCs w:val="22"/>
    </w:rPr>
  </w:style>
  <w:style w:type="paragraph" w:styleId="Heading9">
    <w:name w:val="heading 9"/>
    <w:basedOn w:val="Normal"/>
    <w:next w:val="Normal"/>
    <w:link w:val="Heading9Char"/>
    <w:uiPriority w:val="9"/>
    <w:semiHidden/>
    <w:unhideWhenUsed/>
    <w:qFormat/>
    <w:rsid w:val="00D43088"/>
    <w:pPr>
      <w:keepNext/>
      <w:keepLines/>
      <w:spacing w:after="0" w:line="259" w:lineRule="auto"/>
      <w:outlineLvl w:val="8"/>
    </w:pPr>
    <w:rPr>
      <w:rFonts w:asciiTheme="minorHAnsi" w:eastAsiaTheme="majorEastAsia" w:hAnsiTheme="minorHAnsi" w:cstheme="majorBidi"/>
      <w:color w:val="272727" w:themeColor="text1" w:themeTint="D8"/>
      <w:kern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0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0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08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08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4308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4308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4308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4308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4308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4308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0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08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D4308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43088"/>
    <w:pPr>
      <w:spacing w:before="160" w:after="160" w:line="259" w:lineRule="auto"/>
      <w:jc w:val="center"/>
    </w:pPr>
    <w:rPr>
      <w:rFonts w:cs="Calibri"/>
      <w:i/>
      <w:iCs/>
      <w:color w:val="404040" w:themeColor="text1" w:themeTint="BF"/>
      <w:kern w:val="2"/>
      <w:sz w:val="22"/>
      <w:szCs w:val="22"/>
    </w:rPr>
  </w:style>
  <w:style w:type="character" w:customStyle="1" w:styleId="QuoteChar">
    <w:name w:val="Quote Char"/>
    <w:basedOn w:val="DefaultParagraphFont"/>
    <w:link w:val="Quote"/>
    <w:uiPriority w:val="29"/>
    <w:rsid w:val="00D43088"/>
    <w:rPr>
      <w:i/>
      <w:iCs/>
      <w:color w:val="404040" w:themeColor="text1" w:themeTint="BF"/>
    </w:rPr>
  </w:style>
  <w:style w:type="paragraph" w:styleId="ListParagraph">
    <w:name w:val="List Paragraph"/>
    <w:basedOn w:val="Normal"/>
    <w:uiPriority w:val="34"/>
    <w:qFormat/>
    <w:rsid w:val="00D43088"/>
    <w:pPr>
      <w:spacing w:after="160" w:line="259" w:lineRule="auto"/>
      <w:ind w:left="720"/>
      <w:contextualSpacing/>
    </w:pPr>
    <w:rPr>
      <w:rFonts w:cs="Calibri"/>
      <w:kern w:val="2"/>
      <w:sz w:val="22"/>
      <w:szCs w:val="22"/>
    </w:rPr>
  </w:style>
  <w:style w:type="character" w:styleId="IntenseEmphasis">
    <w:name w:val="Intense Emphasis"/>
    <w:basedOn w:val="DefaultParagraphFont"/>
    <w:uiPriority w:val="21"/>
    <w:qFormat/>
    <w:rsid w:val="00D43088"/>
    <w:rPr>
      <w:i/>
      <w:iCs/>
      <w:color w:val="0F4761" w:themeColor="accent1" w:themeShade="BF"/>
    </w:rPr>
  </w:style>
  <w:style w:type="paragraph" w:styleId="IntenseQuote">
    <w:name w:val="Intense Quote"/>
    <w:basedOn w:val="Normal"/>
    <w:next w:val="Normal"/>
    <w:link w:val="IntenseQuoteChar"/>
    <w:uiPriority w:val="30"/>
    <w:qFormat/>
    <w:rsid w:val="00D4308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cs="Calibri"/>
      <w:i/>
      <w:iCs/>
      <w:color w:val="0F4761" w:themeColor="accent1" w:themeShade="BF"/>
      <w:kern w:val="2"/>
      <w:sz w:val="22"/>
      <w:szCs w:val="22"/>
    </w:rPr>
  </w:style>
  <w:style w:type="character" w:customStyle="1" w:styleId="IntenseQuoteChar">
    <w:name w:val="Intense Quote Char"/>
    <w:basedOn w:val="DefaultParagraphFont"/>
    <w:link w:val="IntenseQuote"/>
    <w:uiPriority w:val="30"/>
    <w:rsid w:val="00D43088"/>
    <w:rPr>
      <w:i/>
      <w:iCs/>
      <w:color w:val="0F4761" w:themeColor="accent1" w:themeShade="BF"/>
    </w:rPr>
  </w:style>
  <w:style w:type="character" w:styleId="IntenseReference">
    <w:name w:val="Intense Reference"/>
    <w:basedOn w:val="DefaultParagraphFont"/>
    <w:uiPriority w:val="32"/>
    <w:qFormat/>
    <w:rsid w:val="00D43088"/>
    <w:rPr>
      <w:b/>
      <w:bCs/>
      <w:smallCaps/>
      <w:color w:val="0F4761" w:themeColor="accent1" w:themeShade="BF"/>
      <w:spacing w:val="5"/>
    </w:rPr>
  </w:style>
  <w:style w:type="paragraph" w:styleId="Header">
    <w:name w:val="header"/>
    <w:basedOn w:val="Normal"/>
    <w:link w:val="HeaderChar"/>
    <w:uiPriority w:val="99"/>
    <w:unhideWhenUsed/>
    <w:rsid w:val="00D43088"/>
    <w:pPr>
      <w:tabs>
        <w:tab w:val="center" w:pos="4680"/>
        <w:tab w:val="right" w:pos="9360"/>
      </w:tabs>
      <w:spacing w:after="0"/>
    </w:pPr>
  </w:style>
  <w:style w:type="character" w:customStyle="1" w:styleId="HeaderChar">
    <w:name w:val="Header Char"/>
    <w:basedOn w:val="DefaultParagraphFont"/>
    <w:link w:val="Header"/>
    <w:uiPriority w:val="99"/>
    <w:rsid w:val="00D43088"/>
    <w:rPr>
      <w:rFonts w:cstheme="minorBidi"/>
      <w:kern w:val="0"/>
      <w:sz w:val="20"/>
      <w:szCs w:val="20"/>
    </w:rPr>
  </w:style>
  <w:style w:type="paragraph" w:customStyle="1" w:styleId="TRIMEDXDigitalLetterheadFooter">
    <w:name w:val="TRIMEDX Digital Letterhead Footer"/>
    <w:basedOn w:val="Footer"/>
    <w:link w:val="TRIMEDXDigitalLetterheadFooterChar"/>
    <w:qFormat/>
    <w:rsid w:val="00D43088"/>
  </w:style>
  <w:style w:type="character" w:customStyle="1" w:styleId="TRIMEDXDigitalLetterheadFooterChar">
    <w:name w:val="TRIMEDX Digital Letterhead Footer Char"/>
    <w:basedOn w:val="FooterChar"/>
    <w:link w:val="TRIMEDXDigitalLetterheadFooter"/>
    <w:rsid w:val="00D43088"/>
    <w:rPr>
      <w:rFonts w:cstheme="minorBidi"/>
      <w:kern w:val="0"/>
      <w:sz w:val="20"/>
      <w:szCs w:val="20"/>
      <w14:ligatures w14:val="none"/>
    </w:rPr>
  </w:style>
  <w:style w:type="paragraph" w:styleId="BodyText">
    <w:name w:val="Body Text"/>
    <w:basedOn w:val="Normal"/>
    <w:link w:val="BodyTextChar"/>
    <w:uiPriority w:val="99"/>
    <w:unhideWhenUsed/>
    <w:rsid w:val="00D43088"/>
  </w:style>
  <w:style w:type="character" w:customStyle="1" w:styleId="BodyTextChar">
    <w:name w:val="Body Text Char"/>
    <w:basedOn w:val="DefaultParagraphFont"/>
    <w:link w:val="BodyText"/>
    <w:uiPriority w:val="99"/>
    <w:rsid w:val="00D43088"/>
    <w:rPr>
      <w:rFonts w:cstheme="minorBidi"/>
      <w:kern w:val="0"/>
      <w:sz w:val="20"/>
      <w:szCs w:val="20"/>
    </w:rPr>
  </w:style>
  <w:style w:type="paragraph" w:styleId="Footer">
    <w:name w:val="footer"/>
    <w:basedOn w:val="Normal"/>
    <w:link w:val="FooterChar"/>
    <w:uiPriority w:val="99"/>
    <w:semiHidden/>
    <w:unhideWhenUsed/>
    <w:rsid w:val="00D43088"/>
    <w:pPr>
      <w:tabs>
        <w:tab w:val="center" w:pos="4680"/>
        <w:tab w:val="right" w:pos="9360"/>
      </w:tabs>
      <w:spacing w:after="0"/>
    </w:pPr>
    <w:rPr>
      <w14:ligatures w14:val="none"/>
    </w:rPr>
  </w:style>
  <w:style w:type="character" w:customStyle="1" w:styleId="FooterChar">
    <w:name w:val="Footer Char"/>
    <w:basedOn w:val="DefaultParagraphFont"/>
    <w:link w:val="Footer"/>
    <w:uiPriority w:val="99"/>
    <w:semiHidden/>
    <w:rsid w:val="00D43088"/>
    <w:rPr>
      <w:rFonts w:cstheme="minorBidi"/>
      <w:kern w:val="0"/>
      <w:sz w:val="20"/>
      <w:szCs w:val="20"/>
      <w14:ligatures w14:val="none"/>
    </w:rPr>
  </w:style>
  <w:style w:type="paragraph" w:styleId="NoSpacing">
    <w:name w:val="No Spacing"/>
    <w:uiPriority w:val="1"/>
    <w:qFormat/>
    <w:rsid w:val="007E6CF4"/>
    <w:pPr>
      <w:spacing w:after="0" w:line="240" w:lineRule="auto"/>
    </w:pPr>
    <w:rPr>
      <w:rFonts w:asciiTheme="minorHAnsi" w:hAnsiTheme="minorHAnsi" w:cstheme="minorBidi"/>
      <w:sz w:val="24"/>
      <w:szCs w:val="24"/>
    </w:rPr>
  </w:style>
  <w:style w:type="character" w:styleId="Hyperlink">
    <w:name w:val="Hyperlink"/>
    <w:basedOn w:val="DefaultParagraphFont"/>
    <w:uiPriority w:val="99"/>
    <w:unhideWhenUsed/>
    <w:rsid w:val="007E6CF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sfhealthcare.or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747</Words>
  <Characters>4258</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Normal.dotm</vt:lpstr>
    </vt:vector>
  </TitlesOfParts>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Normal.dotm</dc:title>
  <dc:subject>Default Font</dc:subject>
  <dc:creator>Dunham, Ted</dc:creator>
  <cp:keywords>Calibri</cp:keywords>
  <dc:description/>
  <cp:lastModifiedBy>Dankoff, Shelli J.</cp:lastModifiedBy>
  <cp:revision>2</cp:revision>
  <dcterms:created xsi:type="dcterms:W3CDTF">2026-06-22T17:43:00Z</dcterms:created>
  <dcterms:modified xsi:type="dcterms:W3CDTF">2026-06-22T17:43:00Z</dcterms:modified>
</cp:coreProperties>
</file>