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9E6BD" w14:textId="77777777" w:rsidR="00126824" w:rsidRPr="00126824" w:rsidRDefault="00126824" w:rsidP="00126824">
      <w:pPr>
        <w:spacing w:after="160" w:line="259" w:lineRule="auto"/>
        <w:jc w:val="center"/>
        <w:rPr>
          <w:rFonts w:ascii="Calibri" w:eastAsia="Calibri" w:hAnsi="Calibri" w:cs="Times New Roman"/>
          <w:b/>
          <w:szCs w:val="22"/>
        </w:rPr>
      </w:pPr>
      <w:r w:rsidRPr="00126824">
        <w:rPr>
          <w:rFonts w:ascii="Calibri" w:eastAsia="Calibri" w:hAnsi="Calibri" w:cs="Times New Roman"/>
          <w:b/>
          <w:noProof/>
          <w:szCs w:val="22"/>
        </w:rPr>
        <w:drawing>
          <wp:inline distT="0" distB="0" distL="0" distR="0" wp14:anchorId="67C3FE10" wp14:editId="2E139ECD">
            <wp:extent cx="2716695" cy="547111"/>
            <wp:effectExtent l="0" t="0" r="7620" b="571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1001" cy="582214"/>
                    </a:xfrm>
                    <a:prstGeom prst="rect">
                      <a:avLst/>
                    </a:prstGeom>
                  </pic:spPr>
                </pic:pic>
              </a:graphicData>
            </a:graphic>
          </wp:inline>
        </w:drawing>
      </w:r>
    </w:p>
    <w:p w14:paraId="7E12ED1B" w14:textId="56C065F0" w:rsidR="008A5442" w:rsidRPr="00126824" w:rsidRDefault="00126824" w:rsidP="008A5442">
      <w:pPr>
        <w:spacing w:after="160" w:line="259" w:lineRule="auto"/>
        <w:jc w:val="center"/>
        <w:rPr>
          <w:rFonts w:ascii="Tahoma" w:eastAsia="Calibri" w:hAnsi="Tahoma" w:cs="Tahoma"/>
          <w:b/>
          <w:sz w:val="24"/>
        </w:rPr>
      </w:pPr>
      <w:r w:rsidRPr="00126824">
        <w:rPr>
          <w:rFonts w:ascii="Tahoma" w:eastAsia="Calibri" w:hAnsi="Tahoma" w:cs="Tahoma"/>
          <w:b/>
          <w:sz w:val="24"/>
        </w:rPr>
        <w:t xml:space="preserve">OSF HealthCare </w:t>
      </w:r>
      <w:r w:rsidR="00DA62A6">
        <w:rPr>
          <w:rFonts w:ascii="Tahoma" w:eastAsia="Calibri" w:hAnsi="Tahoma" w:cs="Tahoma"/>
          <w:b/>
          <w:sz w:val="24"/>
        </w:rPr>
        <w:t xml:space="preserve">again </w:t>
      </w:r>
      <w:r w:rsidR="008A5442">
        <w:rPr>
          <w:rFonts w:ascii="Tahoma" w:eastAsia="Calibri" w:hAnsi="Tahoma" w:cs="Tahoma"/>
          <w:b/>
          <w:sz w:val="24"/>
        </w:rPr>
        <w:t xml:space="preserve">named </w:t>
      </w:r>
      <w:r w:rsidR="00B83797">
        <w:rPr>
          <w:rFonts w:ascii="Tahoma" w:eastAsia="Calibri" w:hAnsi="Tahoma" w:cs="Tahoma"/>
          <w:b/>
          <w:sz w:val="24"/>
        </w:rPr>
        <w:t xml:space="preserve">an </w:t>
      </w:r>
      <w:r w:rsidR="008A5442">
        <w:rPr>
          <w:rFonts w:ascii="Tahoma" w:eastAsia="Calibri" w:hAnsi="Tahoma" w:cs="Tahoma"/>
          <w:b/>
          <w:sz w:val="24"/>
        </w:rPr>
        <w:t xml:space="preserve">ACO to Know </w:t>
      </w:r>
    </w:p>
    <w:p w14:paraId="612D4CA0" w14:textId="247665B6" w:rsidR="00126824" w:rsidRPr="00126824" w:rsidRDefault="00126824" w:rsidP="00126824">
      <w:pPr>
        <w:spacing w:after="160" w:line="259" w:lineRule="auto"/>
        <w:rPr>
          <w:rFonts w:ascii="Tahoma" w:eastAsia="Calibri" w:hAnsi="Tahoma" w:cs="Tahoma"/>
          <w:sz w:val="20"/>
          <w:szCs w:val="20"/>
        </w:rPr>
      </w:pPr>
      <w:r w:rsidRPr="00126824">
        <w:rPr>
          <w:rFonts w:ascii="Tahoma" w:eastAsia="Calibri" w:hAnsi="Tahoma" w:cs="Tahoma"/>
          <w:b/>
          <w:sz w:val="20"/>
          <w:szCs w:val="20"/>
        </w:rPr>
        <w:br/>
        <w:t>For immediate release</w:t>
      </w:r>
      <w:r w:rsidRPr="00126824">
        <w:rPr>
          <w:rFonts w:ascii="Tahoma" w:eastAsia="Calibri" w:hAnsi="Tahoma" w:cs="Tahoma"/>
          <w:b/>
          <w:sz w:val="20"/>
          <w:szCs w:val="20"/>
        </w:rPr>
        <w:br/>
      </w:r>
      <w:r w:rsidRPr="00126824">
        <w:rPr>
          <w:rFonts w:ascii="Tahoma" w:eastAsia="Calibri" w:hAnsi="Tahoma" w:cs="Tahoma"/>
          <w:sz w:val="20"/>
          <w:szCs w:val="20"/>
        </w:rPr>
        <w:t xml:space="preserve">Contact: </w:t>
      </w:r>
      <w:r w:rsidR="00DA62A6">
        <w:rPr>
          <w:rFonts w:ascii="Tahoma" w:eastAsia="Calibri" w:hAnsi="Tahoma" w:cs="Tahoma"/>
          <w:sz w:val="20"/>
          <w:szCs w:val="20"/>
        </w:rPr>
        <w:t xml:space="preserve">Shelli Dankoff, Manager, </w:t>
      </w:r>
      <w:r w:rsidRPr="00126824">
        <w:rPr>
          <w:rFonts w:ascii="Tahoma" w:eastAsia="Calibri" w:hAnsi="Tahoma" w:cs="Tahoma"/>
          <w:sz w:val="20"/>
          <w:szCs w:val="20"/>
        </w:rPr>
        <w:t>Media Relations</w:t>
      </w:r>
      <w:r w:rsidR="00DA62A6">
        <w:rPr>
          <w:rFonts w:ascii="Tahoma" w:eastAsia="Calibri" w:hAnsi="Tahoma" w:cs="Tahoma"/>
          <w:sz w:val="20"/>
          <w:szCs w:val="20"/>
        </w:rPr>
        <w:t xml:space="preserve"> &amp; Multimedia Services </w:t>
      </w:r>
      <w:r w:rsidRPr="00126824">
        <w:rPr>
          <w:rFonts w:ascii="Tahoma" w:eastAsia="Calibri" w:hAnsi="Tahoma" w:cs="Tahoma"/>
          <w:sz w:val="20"/>
          <w:szCs w:val="20"/>
        </w:rPr>
        <w:t xml:space="preserve">| </w:t>
      </w:r>
      <w:hyperlink r:id="rId7" w:history="1">
        <w:r w:rsidR="00DA62A6" w:rsidRPr="00014B6E">
          <w:rPr>
            <w:rStyle w:val="Hyperlink"/>
            <w:rFonts w:ascii="Tahoma" w:eastAsia="Calibri" w:hAnsi="Tahoma" w:cs="Tahoma"/>
            <w:sz w:val="20"/>
            <w:szCs w:val="20"/>
          </w:rPr>
          <w:t>Shelli.J.Dankoff@osfhealthcare.org</w:t>
        </w:r>
      </w:hyperlink>
    </w:p>
    <w:p w14:paraId="68994CF3" w14:textId="1556733A" w:rsidR="00B83797" w:rsidRDefault="00126824" w:rsidP="00126824">
      <w:pPr>
        <w:spacing w:line="276" w:lineRule="auto"/>
        <w:rPr>
          <w:rFonts w:ascii="Tahoma" w:eastAsia="Calibri" w:hAnsi="Tahoma" w:cs="Tahoma"/>
          <w:i/>
          <w:iCs/>
          <w:sz w:val="20"/>
          <w:szCs w:val="20"/>
        </w:rPr>
      </w:pPr>
      <w:r w:rsidRPr="00126824">
        <w:rPr>
          <w:rFonts w:ascii="Tahoma" w:eastAsia="Calibri" w:hAnsi="Tahoma" w:cs="Tahoma"/>
          <w:b/>
          <w:sz w:val="20"/>
          <w:szCs w:val="20"/>
        </w:rPr>
        <w:br/>
      </w:r>
      <w:r w:rsidRPr="00B83797">
        <w:rPr>
          <w:rFonts w:ascii="Tahoma" w:eastAsia="Calibri" w:hAnsi="Tahoma" w:cs="Tahoma"/>
          <w:sz w:val="20"/>
          <w:szCs w:val="20"/>
        </w:rPr>
        <w:t>(</w:t>
      </w:r>
      <w:r w:rsidR="00DA62A6" w:rsidRPr="00B83797">
        <w:rPr>
          <w:rFonts w:ascii="Tahoma" w:eastAsia="Calibri" w:hAnsi="Tahoma" w:cs="Tahoma"/>
          <w:sz w:val="20"/>
          <w:szCs w:val="20"/>
        </w:rPr>
        <w:t xml:space="preserve">Nov. 20, 2024 </w:t>
      </w:r>
      <w:r w:rsidRPr="00B83797">
        <w:rPr>
          <w:rFonts w:ascii="Tahoma" w:eastAsia="Calibri" w:hAnsi="Tahoma" w:cs="Tahoma"/>
          <w:sz w:val="20"/>
          <w:szCs w:val="20"/>
        </w:rPr>
        <w:t>|</w:t>
      </w:r>
      <w:r w:rsidR="00DA62A6" w:rsidRPr="00B83797">
        <w:rPr>
          <w:rFonts w:ascii="Tahoma" w:eastAsia="Calibri" w:hAnsi="Tahoma" w:cs="Tahoma"/>
          <w:sz w:val="20"/>
          <w:szCs w:val="20"/>
        </w:rPr>
        <w:t xml:space="preserve"> </w:t>
      </w:r>
      <w:r w:rsidRPr="00B83797">
        <w:rPr>
          <w:rFonts w:ascii="Tahoma" w:eastAsia="Calibri" w:hAnsi="Tahoma" w:cs="Tahoma"/>
          <w:sz w:val="20"/>
          <w:szCs w:val="20"/>
        </w:rPr>
        <w:t xml:space="preserve">PEORIA, Ill.) – </w:t>
      </w:r>
      <w:r w:rsidR="00452561" w:rsidRPr="00B83797">
        <w:rPr>
          <w:rFonts w:ascii="Tahoma" w:eastAsia="Calibri" w:hAnsi="Tahoma" w:cs="Tahoma"/>
          <w:sz w:val="20"/>
          <w:szCs w:val="20"/>
        </w:rPr>
        <w:t xml:space="preserve">OSF HealthCare </w:t>
      </w:r>
      <w:r w:rsidR="00DA62A6" w:rsidRPr="00B83797">
        <w:rPr>
          <w:rFonts w:ascii="Tahoma" w:eastAsia="Calibri" w:hAnsi="Tahoma" w:cs="Tahoma"/>
          <w:sz w:val="20"/>
          <w:szCs w:val="20"/>
        </w:rPr>
        <w:t>has again been named to the</w:t>
      </w:r>
      <w:r w:rsidR="00141B52" w:rsidRPr="00B83797">
        <w:rPr>
          <w:rFonts w:ascii="Tahoma" w:eastAsia="Calibri" w:hAnsi="Tahoma" w:cs="Tahoma"/>
          <w:sz w:val="20"/>
          <w:szCs w:val="20"/>
        </w:rPr>
        <w:t xml:space="preserve"> </w:t>
      </w:r>
      <w:r w:rsidR="00452561" w:rsidRPr="00B83797">
        <w:rPr>
          <w:rFonts w:ascii="Tahoma" w:eastAsia="Calibri" w:hAnsi="Tahoma" w:cs="Tahoma"/>
          <w:i/>
          <w:iCs/>
          <w:sz w:val="20"/>
          <w:szCs w:val="20"/>
        </w:rPr>
        <w:t>Becker’s Hospital Review</w:t>
      </w:r>
      <w:r w:rsidR="00DA62A6" w:rsidRPr="00B83797">
        <w:rPr>
          <w:rFonts w:ascii="Tahoma" w:eastAsia="Calibri" w:hAnsi="Tahoma" w:cs="Tahoma"/>
          <w:i/>
          <w:iCs/>
          <w:sz w:val="20"/>
          <w:szCs w:val="20"/>
        </w:rPr>
        <w:t xml:space="preserve"> </w:t>
      </w:r>
    </w:p>
    <w:p w14:paraId="08D03F49" w14:textId="2C439586" w:rsidR="00533DF8" w:rsidRPr="00B83797" w:rsidRDefault="00DA62A6" w:rsidP="00126824">
      <w:pPr>
        <w:spacing w:line="276" w:lineRule="auto"/>
        <w:rPr>
          <w:rFonts w:ascii="Tahoma" w:eastAsia="Calibri" w:hAnsi="Tahoma" w:cs="Tahoma"/>
          <w:sz w:val="20"/>
          <w:szCs w:val="20"/>
        </w:rPr>
      </w:pPr>
      <w:hyperlink r:id="rId8" w:history="1">
        <w:r w:rsidRPr="00B83797">
          <w:rPr>
            <w:rStyle w:val="Hyperlink"/>
            <w:rFonts w:ascii="Tahoma" w:eastAsia="Calibri" w:hAnsi="Tahoma" w:cs="Tahoma"/>
            <w:sz w:val="20"/>
            <w:szCs w:val="20"/>
          </w:rPr>
          <w:t>44</w:t>
        </w:r>
        <w:r w:rsidRPr="00B83797">
          <w:rPr>
            <w:rStyle w:val="Hyperlink"/>
            <w:rFonts w:ascii="Tahoma" w:eastAsia="Calibri" w:hAnsi="Tahoma" w:cs="Tahoma"/>
            <w:i/>
            <w:iCs/>
            <w:sz w:val="20"/>
            <w:szCs w:val="20"/>
          </w:rPr>
          <w:t xml:space="preserve"> </w:t>
        </w:r>
        <w:r w:rsidR="00533DF8" w:rsidRPr="00B83797">
          <w:rPr>
            <w:rStyle w:val="Hyperlink"/>
            <w:rFonts w:ascii="Tahoma" w:eastAsia="Calibri" w:hAnsi="Tahoma" w:cs="Tahoma"/>
            <w:sz w:val="20"/>
            <w:szCs w:val="20"/>
          </w:rPr>
          <w:t>ACO</w:t>
        </w:r>
        <w:r w:rsidRPr="00B83797">
          <w:rPr>
            <w:rStyle w:val="Hyperlink"/>
            <w:rFonts w:ascii="Tahoma" w:eastAsia="Calibri" w:hAnsi="Tahoma" w:cs="Tahoma"/>
            <w:sz w:val="20"/>
            <w:szCs w:val="20"/>
          </w:rPr>
          <w:t xml:space="preserve">s </w:t>
        </w:r>
        <w:r w:rsidR="00533DF8" w:rsidRPr="00B83797">
          <w:rPr>
            <w:rStyle w:val="Hyperlink"/>
            <w:rFonts w:ascii="Tahoma" w:eastAsia="Calibri" w:hAnsi="Tahoma" w:cs="Tahoma"/>
            <w:sz w:val="20"/>
            <w:szCs w:val="20"/>
          </w:rPr>
          <w:t>to Know</w:t>
        </w:r>
      </w:hyperlink>
      <w:r w:rsidR="00533DF8" w:rsidRPr="00B83797">
        <w:rPr>
          <w:rFonts w:ascii="Tahoma" w:eastAsia="Calibri" w:hAnsi="Tahoma" w:cs="Tahoma"/>
          <w:sz w:val="20"/>
          <w:szCs w:val="20"/>
        </w:rPr>
        <w:t xml:space="preserve"> list</w:t>
      </w:r>
      <w:r w:rsidRPr="00B83797">
        <w:rPr>
          <w:rFonts w:ascii="Tahoma" w:eastAsia="Calibri" w:hAnsi="Tahoma" w:cs="Tahoma"/>
          <w:sz w:val="20"/>
          <w:szCs w:val="20"/>
        </w:rPr>
        <w:t xml:space="preserve">, the only </w:t>
      </w:r>
      <w:r w:rsidR="00457BF2">
        <w:rPr>
          <w:rFonts w:ascii="Tahoma" w:eastAsia="Calibri" w:hAnsi="Tahoma" w:cs="Tahoma"/>
          <w:sz w:val="20"/>
          <w:szCs w:val="20"/>
        </w:rPr>
        <w:t>Accountable Care Organization</w:t>
      </w:r>
      <w:r w:rsidRPr="00B83797">
        <w:rPr>
          <w:rFonts w:ascii="Tahoma" w:eastAsia="Calibri" w:hAnsi="Tahoma" w:cs="Tahoma"/>
          <w:sz w:val="20"/>
          <w:szCs w:val="20"/>
        </w:rPr>
        <w:t xml:space="preserve"> from the state of Illinois</w:t>
      </w:r>
      <w:r w:rsidR="00457BF2">
        <w:rPr>
          <w:rFonts w:ascii="Tahoma" w:eastAsia="Calibri" w:hAnsi="Tahoma" w:cs="Tahoma"/>
          <w:sz w:val="20"/>
          <w:szCs w:val="20"/>
        </w:rPr>
        <w:t xml:space="preserve"> named.</w:t>
      </w:r>
    </w:p>
    <w:p w14:paraId="223E9C72" w14:textId="77777777" w:rsidR="00533DF8" w:rsidRPr="00B83797" w:rsidRDefault="00533DF8" w:rsidP="00126824">
      <w:pPr>
        <w:spacing w:line="276" w:lineRule="auto"/>
        <w:rPr>
          <w:rFonts w:ascii="Tahoma" w:eastAsia="Calibri" w:hAnsi="Tahoma" w:cs="Tahoma"/>
          <w:sz w:val="20"/>
          <w:szCs w:val="20"/>
        </w:rPr>
      </w:pPr>
    </w:p>
    <w:p w14:paraId="21E184CC" w14:textId="57048838" w:rsidR="00126824" w:rsidRPr="00B83797" w:rsidRDefault="00126824" w:rsidP="00126824">
      <w:pPr>
        <w:spacing w:line="276" w:lineRule="auto"/>
        <w:rPr>
          <w:rFonts w:ascii="Tahoma" w:eastAsia="Calibri" w:hAnsi="Tahoma" w:cs="Tahoma"/>
          <w:sz w:val="20"/>
          <w:szCs w:val="20"/>
        </w:rPr>
      </w:pPr>
      <w:r w:rsidRPr="00B83797">
        <w:rPr>
          <w:rFonts w:ascii="Tahoma" w:eastAsia="Calibri" w:hAnsi="Tahoma" w:cs="Tahoma"/>
          <w:sz w:val="20"/>
          <w:szCs w:val="20"/>
        </w:rPr>
        <w:t xml:space="preserve">As part of the work to ensure the best possible health outcomes for patients while also reducing health care costs, OSF HealthCare has been an Accountable Care Organization (ACO) under the Centers for Medicare &amp; Medicaid Services (CMS) since 2012. </w:t>
      </w:r>
    </w:p>
    <w:p w14:paraId="10817BCC" w14:textId="77777777" w:rsidR="00126824" w:rsidRPr="00B83797" w:rsidRDefault="00126824" w:rsidP="00126824">
      <w:pPr>
        <w:spacing w:line="276" w:lineRule="auto"/>
        <w:rPr>
          <w:rFonts w:ascii="Tahoma" w:eastAsia="Calibri" w:hAnsi="Tahoma" w:cs="Tahoma"/>
          <w:sz w:val="20"/>
          <w:szCs w:val="20"/>
        </w:rPr>
      </w:pPr>
    </w:p>
    <w:p w14:paraId="2A382617" w14:textId="77777777" w:rsidR="00126824" w:rsidRPr="00B83797" w:rsidRDefault="00126824" w:rsidP="00126824">
      <w:pPr>
        <w:spacing w:line="276" w:lineRule="auto"/>
        <w:rPr>
          <w:rFonts w:ascii="Tahoma" w:eastAsia="Calibri" w:hAnsi="Tahoma" w:cs="Tahoma"/>
          <w:sz w:val="20"/>
          <w:szCs w:val="20"/>
        </w:rPr>
      </w:pPr>
      <w:r w:rsidRPr="00B83797">
        <w:rPr>
          <w:rFonts w:ascii="Tahoma" w:eastAsia="Calibri" w:hAnsi="Tahoma" w:cs="Tahoma"/>
          <w:sz w:val="20"/>
          <w:szCs w:val="20"/>
        </w:rPr>
        <w:t>An ACO is a group of doctors, hospitals and other health care providers who come together to provide coordinated care to their patients. This ensures that patients, especially the chronically ill, get the right care at the right time while avoiding unnecessary duplication of services and preventing medical errors.</w:t>
      </w:r>
    </w:p>
    <w:p w14:paraId="4719FEB2" w14:textId="77777777" w:rsidR="00126824" w:rsidRPr="00B83797" w:rsidRDefault="00126824" w:rsidP="00126824">
      <w:pPr>
        <w:spacing w:line="276" w:lineRule="auto"/>
        <w:rPr>
          <w:rFonts w:ascii="Tahoma" w:eastAsia="Calibri" w:hAnsi="Tahoma" w:cs="Tahoma"/>
          <w:sz w:val="20"/>
          <w:szCs w:val="20"/>
        </w:rPr>
      </w:pPr>
    </w:p>
    <w:p w14:paraId="4B4CD14C" w14:textId="11B852EB" w:rsidR="00126824" w:rsidRPr="00B83797" w:rsidRDefault="00126824" w:rsidP="00126824">
      <w:pPr>
        <w:spacing w:line="276" w:lineRule="auto"/>
        <w:rPr>
          <w:rFonts w:ascii="Tahoma" w:eastAsia="Calibri" w:hAnsi="Tahoma" w:cs="Tahoma"/>
          <w:sz w:val="20"/>
          <w:szCs w:val="20"/>
        </w:rPr>
      </w:pPr>
      <w:r w:rsidRPr="00B83797">
        <w:rPr>
          <w:rFonts w:ascii="Tahoma" w:eastAsia="Calibri" w:hAnsi="Tahoma" w:cs="Tahoma"/>
          <w:sz w:val="20"/>
          <w:szCs w:val="20"/>
        </w:rPr>
        <w:t xml:space="preserve">When an ACO succeeds in delivering high-quality, evidence-based care that leads to improved health outcomes at a lower cost, the ACO shares in the savings it achieves for the Medicare program. In </w:t>
      </w:r>
      <w:r w:rsidR="00457BF2">
        <w:rPr>
          <w:rFonts w:ascii="Tahoma" w:eastAsia="Calibri" w:hAnsi="Tahoma" w:cs="Tahoma"/>
          <w:sz w:val="20"/>
          <w:szCs w:val="20"/>
        </w:rPr>
        <w:t xml:space="preserve">calendar </w:t>
      </w:r>
      <w:r w:rsidRPr="00B83797">
        <w:rPr>
          <w:rFonts w:ascii="Tahoma" w:eastAsia="Calibri" w:hAnsi="Tahoma" w:cs="Tahoma"/>
          <w:sz w:val="20"/>
          <w:szCs w:val="20"/>
        </w:rPr>
        <w:t>year 202</w:t>
      </w:r>
      <w:r w:rsidR="00DA62A6" w:rsidRPr="00B83797">
        <w:rPr>
          <w:rFonts w:ascii="Tahoma" w:eastAsia="Calibri" w:hAnsi="Tahoma" w:cs="Tahoma"/>
          <w:sz w:val="20"/>
          <w:szCs w:val="20"/>
        </w:rPr>
        <w:t>3</w:t>
      </w:r>
      <w:r w:rsidRPr="00B83797">
        <w:rPr>
          <w:rFonts w:ascii="Tahoma" w:eastAsia="Calibri" w:hAnsi="Tahoma" w:cs="Tahoma"/>
          <w:sz w:val="20"/>
          <w:szCs w:val="20"/>
        </w:rPr>
        <w:t xml:space="preserve">, OSF HealthCare saved taxpayers </w:t>
      </w:r>
      <w:r w:rsidR="00DA62A6" w:rsidRPr="00B83797">
        <w:rPr>
          <w:rFonts w:ascii="Tahoma" w:eastAsia="Calibri" w:hAnsi="Tahoma" w:cs="Tahoma"/>
          <w:sz w:val="20"/>
          <w:szCs w:val="20"/>
        </w:rPr>
        <w:t xml:space="preserve">nearly </w:t>
      </w:r>
      <w:r w:rsidRPr="00B83797">
        <w:rPr>
          <w:rFonts w:ascii="Tahoma" w:eastAsia="Calibri" w:hAnsi="Tahoma" w:cs="Tahoma"/>
          <w:sz w:val="20"/>
          <w:szCs w:val="20"/>
        </w:rPr>
        <w:t>$</w:t>
      </w:r>
      <w:r w:rsidR="00DA62A6" w:rsidRPr="00B83797">
        <w:rPr>
          <w:rFonts w:ascii="Tahoma" w:eastAsia="Calibri" w:hAnsi="Tahoma" w:cs="Tahoma"/>
          <w:sz w:val="20"/>
          <w:szCs w:val="20"/>
        </w:rPr>
        <w:t>40</w:t>
      </w:r>
      <w:r w:rsidRPr="00B83797">
        <w:rPr>
          <w:rFonts w:ascii="Tahoma" w:eastAsia="Calibri" w:hAnsi="Tahoma" w:cs="Tahoma"/>
          <w:sz w:val="20"/>
          <w:szCs w:val="20"/>
        </w:rPr>
        <w:t xml:space="preserve"> million more than the benchmark set by CMS and, as a result, will receive a payback of $2</w:t>
      </w:r>
      <w:r w:rsidR="00DA62A6" w:rsidRPr="00B83797">
        <w:rPr>
          <w:rFonts w:ascii="Tahoma" w:eastAsia="Calibri" w:hAnsi="Tahoma" w:cs="Tahoma"/>
          <w:sz w:val="20"/>
          <w:szCs w:val="20"/>
        </w:rPr>
        <w:t>9</w:t>
      </w:r>
      <w:r w:rsidRPr="00B83797">
        <w:rPr>
          <w:rFonts w:ascii="Tahoma" w:eastAsia="Calibri" w:hAnsi="Tahoma" w:cs="Tahoma"/>
          <w:sz w:val="20"/>
          <w:szCs w:val="20"/>
        </w:rPr>
        <w:t>.</w:t>
      </w:r>
      <w:r w:rsidR="00DA62A6" w:rsidRPr="00B83797">
        <w:rPr>
          <w:rFonts w:ascii="Tahoma" w:eastAsia="Calibri" w:hAnsi="Tahoma" w:cs="Tahoma"/>
          <w:sz w:val="20"/>
          <w:szCs w:val="20"/>
        </w:rPr>
        <w:t>2</w:t>
      </w:r>
      <w:r w:rsidRPr="00B83797">
        <w:rPr>
          <w:rFonts w:ascii="Tahoma" w:eastAsia="Calibri" w:hAnsi="Tahoma" w:cs="Tahoma"/>
          <w:sz w:val="20"/>
          <w:szCs w:val="20"/>
        </w:rPr>
        <w:t xml:space="preserve"> million, which will be reinvested into patient care.</w:t>
      </w:r>
    </w:p>
    <w:p w14:paraId="5D063A42" w14:textId="77777777" w:rsidR="00126824" w:rsidRPr="00B83797" w:rsidRDefault="00126824" w:rsidP="00126824">
      <w:pPr>
        <w:spacing w:line="276" w:lineRule="auto"/>
        <w:rPr>
          <w:rFonts w:ascii="Tahoma" w:eastAsia="Calibri" w:hAnsi="Tahoma" w:cs="Tahoma"/>
          <w:sz w:val="20"/>
          <w:szCs w:val="20"/>
        </w:rPr>
      </w:pPr>
    </w:p>
    <w:p w14:paraId="0874BD93" w14:textId="5F65A687" w:rsidR="00B83797" w:rsidRDefault="00B83797" w:rsidP="00126824">
      <w:pPr>
        <w:spacing w:line="276" w:lineRule="auto"/>
        <w:rPr>
          <w:rFonts w:ascii="Tahoma" w:eastAsia="Calibri" w:hAnsi="Tahoma" w:cs="Tahoma"/>
          <w:sz w:val="20"/>
          <w:szCs w:val="20"/>
        </w:rPr>
      </w:pPr>
      <w:r w:rsidRPr="00B83797">
        <w:rPr>
          <w:rFonts w:ascii="Tahoma" w:eastAsia="Calibri" w:hAnsi="Tahoma" w:cs="Tahoma"/>
          <w:sz w:val="20"/>
          <w:szCs w:val="20"/>
        </w:rPr>
        <w:t xml:space="preserve">“OSF HealthCare is proud of our </w:t>
      </w:r>
      <w:r>
        <w:rPr>
          <w:rFonts w:ascii="Tahoma" w:eastAsia="Calibri" w:hAnsi="Tahoma" w:cs="Tahoma"/>
          <w:sz w:val="20"/>
          <w:szCs w:val="20"/>
        </w:rPr>
        <w:t xml:space="preserve">continued </w:t>
      </w:r>
      <w:r w:rsidRPr="00B83797">
        <w:rPr>
          <w:rFonts w:ascii="Tahoma" w:eastAsia="Calibri" w:hAnsi="Tahoma" w:cs="Tahoma"/>
          <w:sz w:val="20"/>
          <w:szCs w:val="20"/>
        </w:rPr>
        <w:t xml:space="preserve">excellent performance </w:t>
      </w:r>
      <w:r w:rsidR="00341A0E">
        <w:rPr>
          <w:rFonts w:ascii="Tahoma" w:eastAsia="Calibri" w:hAnsi="Tahoma" w:cs="Tahoma"/>
          <w:sz w:val="20"/>
          <w:szCs w:val="20"/>
        </w:rPr>
        <w:t>as an ACO</w:t>
      </w:r>
      <w:r w:rsidRPr="00B83797">
        <w:rPr>
          <w:rFonts w:ascii="Tahoma" w:eastAsia="Calibri" w:hAnsi="Tahoma" w:cs="Tahoma"/>
          <w:sz w:val="20"/>
          <w:szCs w:val="20"/>
        </w:rPr>
        <w:t>,” said Ralph Velazquez, MD, chief medical officer for OSF HealthCare.</w:t>
      </w:r>
      <w:r>
        <w:rPr>
          <w:rFonts w:ascii="Tahoma" w:eastAsia="Calibri" w:hAnsi="Tahoma" w:cs="Tahoma"/>
          <w:sz w:val="20"/>
          <w:szCs w:val="20"/>
        </w:rPr>
        <w:t xml:space="preserve"> “</w:t>
      </w:r>
      <w:r w:rsidRPr="00B83797">
        <w:rPr>
          <w:rFonts w:ascii="Tahoma" w:eastAsia="Calibri" w:hAnsi="Tahoma" w:cs="Tahoma"/>
          <w:sz w:val="20"/>
          <w:szCs w:val="20"/>
        </w:rPr>
        <w:t xml:space="preserve">Our 2023 quality score </w:t>
      </w:r>
      <w:r>
        <w:rPr>
          <w:rFonts w:ascii="Tahoma" w:eastAsia="Calibri" w:hAnsi="Tahoma" w:cs="Tahoma"/>
          <w:sz w:val="20"/>
          <w:szCs w:val="20"/>
        </w:rPr>
        <w:t xml:space="preserve">continued </w:t>
      </w:r>
      <w:r w:rsidRPr="00B83797">
        <w:rPr>
          <w:rFonts w:ascii="Tahoma" w:eastAsia="Calibri" w:hAnsi="Tahoma" w:cs="Tahoma"/>
          <w:sz w:val="20"/>
          <w:szCs w:val="20"/>
        </w:rPr>
        <w:t xml:space="preserve">to </w:t>
      </w:r>
      <w:r>
        <w:rPr>
          <w:rFonts w:ascii="Tahoma" w:eastAsia="Calibri" w:hAnsi="Tahoma" w:cs="Tahoma"/>
          <w:sz w:val="20"/>
          <w:szCs w:val="20"/>
        </w:rPr>
        <w:t xml:space="preserve">increase </w:t>
      </w:r>
      <w:r w:rsidRPr="00B83797">
        <w:rPr>
          <w:rFonts w:ascii="Tahoma" w:eastAsia="Calibri" w:hAnsi="Tahoma" w:cs="Tahoma"/>
          <w:sz w:val="20"/>
          <w:szCs w:val="20"/>
        </w:rPr>
        <w:t>due to dedicated efforts across three key areas: depression screening, patient experience and diabetic A1C control.</w:t>
      </w:r>
      <w:r w:rsidRPr="00B83797">
        <w:t xml:space="preserve"> </w:t>
      </w:r>
      <w:r w:rsidRPr="00B83797">
        <w:rPr>
          <w:rFonts w:ascii="Tahoma" w:eastAsia="Calibri" w:hAnsi="Tahoma" w:cs="Tahoma"/>
          <w:sz w:val="20"/>
          <w:szCs w:val="20"/>
        </w:rPr>
        <w:t>Additional focus in 2023 included continuation of care management for high-risk beneficiaries and leveraging technology to assist with a</w:t>
      </w:r>
      <w:r>
        <w:rPr>
          <w:rFonts w:ascii="Tahoma" w:eastAsia="Calibri" w:hAnsi="Tahoma" w:cs="Tahoma"/>
          <w:sz w:val="20"/>
          <w:szCs w:val="20"/>
        </w:rPr>
        <w:t>n</w:t>
      </w:r>
      <w:r w:rsidRPr="00B83797">
        <w:rPr>
          <w:rFonts w:ascii="Tahoma" w:eastAsia="Calibri" w:hAnsi="Tahoma" w:cs="Tahoma"/>
          <w:sz w:val="20"/>
          <w:szCs w:val="20"/>
        </w:rPr>
        <w:t xml:space="preserve"> </w:t>
      </w:r>
      <w:r>
        <w:rPr>
          <w:rFonts w:ascii="Tahoma" w:eastAsia="Calibri" w:hAnsi="Tahoma" w:cs="Tahoma"/>
          <w:sz w:val="20"/>
          <w:szCs w:val="20"/>
        </w:rPr>
        <w:t xml:space="preserve">expansion of an </w:t>
      </w:r>
      <w:r w:rsidRPr="00B83797">
        <w:rPr>
          <w:rFonts w:ascii="Tahoma" w:eastAsia="Calibri" w:hAnsi="Tahoma" w:cs="Tahoma"/>
          <w:sz w:val="20"/>
          <w:szCs w:val="20"/>
        </w:rPr>
        <w:t>integrated approach to social drivers of health.</w:t>
      </w:r>
      <w:r>
        <w:rPr>
          <w:rFonts w:ascii="Tahoma" w:eastAsia="Calibri" w:hAnsi="Tahoma" w:cs="Tahoma"/>
          <w:sz w:val="20"/>
          <w:szCs w:val="20"/>
        </w:rPr>
        <w:t>”</w:t>
      </w:r>
    </w:p>
    <w:p w14:paraId="73DEA8D0" w14:textId="77777777" w:rsidR="00B83797" w:rsidRDefault="00B83797" w:rsidP="00126824">
      <w:pPr>
        <w:spacing w:line="276" w:lineRule="auto"/>
        <w:rPr>
          <w:rFonts w:ascii="Tahoma" w:eastAsia="Calibri" w:hAnsi="Tahoma" w:cs="Tahoma"/>
          <w:sz w:val="20"/>
          <w:szCs w:val="20"/>
        </w:rPr>
      </w:pPr>
    </w:p>
    <w:p w14:paraId="112502A2" w14:textId="3595FEB5" w:rsidR="00126824" w:rsidRDefault="00126824" w:rsidP="00126824">
      <w:pPr>
        <w:spacing w:line="276" w:lineRule="auto"/>
        <w:rPr>
          <w:rFonts w:ascii="Tahoma" w:eastAsia="Calibri" w:hAnsi="Tahoma" w:cs="Tahoma"/>
          <w:color w:val="000000"/>
          <w:spacing w:val="8"/>
          <w:sz w:val="20"/>
          <w:szCs w:val="20"/>
          <w:shd w:val="clear" w:color="auto" w:fill="FFFFFF"/>
        </w:rPr>
      </w:pPr>
      <w:r w:rsidRPr="00B83797">
        <w:rPr>
          <w:rFonts w:ascii="Tahoma" w:eastAsia="Calibri" w:hAnsi="Tahoma" w:cs="Tahoma"/>
          <w:sz w:val="20"/>
          <w:szCs w:val="20"/>
        </w:rPr>
        <w:t xml:space="preserve">OSF was selected as one of the first Pioneer ACOs in 2011 because the work fits the philosophy and mission of OSF </w:t>
      </w:r>
      <w:r w:rsidRPr="00126824">
        <w:rPr>
          <w:rFonts w:ascii="Tahoma" w:eastAsia="Calibri" w:hAnsi="Tahoma" w:cs="Tahoma"/>
          <w:sz w:val="20"/>
          <w:szCs w:val="20"/>
        </w:rPr>
        <w:t>HealthCare for improved quality, care coordination and decreased cost for all patients served. Like other leading health care systems, OSF believes that focusing and performing well on quality measures will help to keep health care affordable by reducing or slowing the rise in costs.</w:t>
      </w:r>
      <w:r w:rsidR="00DA62A6">
        <w:rPr>
          <w:rFonts w:ascii="Tahoma" w:eastAsia="Calibri" w:hAnsi="Tahoma" w:cs="Tahoma"/>
          <w:sz w:val="20"/>
          <w:szCs w:val="20"/>
        </w:rPr>
        <w:br/>
      </w:r>
    </w:p>
    <w:p w14:paraId="2336E2FC" w14:textId="77777777" w:rsidR="00B83797" w:rsidRPr="00126824" w:rsidRDefault="00B83797" w:rsidP="00126824">
      <w:pPr>
        <w:spacing w:line="276" w:lineRule="auto"/>
        <w:rPr>
          <w:rFonts w:ascii="Tahoma" w:eastAsia="Calibri" w:hAnsi="Tahoma" w:cs="Tahoma"/>
          <w:color w:val="000000"/>
          <w:spacing w:val="8"/>
          <w:sz w:val="20"/>
          <w:szCs w:val="20"/>
          <w:shd w:val="clear" w:color="auto" w:fill="FFFFFF"/>
        </w:rPr>
      </w:pPr>
    </w:p>
    <w:p w14:paraId="53E2BE71" w14:textId="77777777" w:rsidR="00126824" w:rsidRPr="00126824" w:rsidRDefault="00126824" w:rsidP="00126824">
      <w:pPr>
        <w:spacing w:after="160" w:line="259" w:lineRule="auto"/>
        <w:jc w:val="center"/>
        <w:rPr>
          <w:rFonts w:ascii="Tahoma" w:eastAsia="Calibri" w:hAnsi="Tahoma" w:cs="Tahoma"/>
          <w:color w:val="C00000"/>
          <w:spacing w:val="8"/>
          <w:sz w:val="20"/>
          <w:szCs w:val="20"/>
          <w:shd w:val="clear" w:color="auto" w:fill="FFFFFF"/>
        </w:rPr>
      </w:pPr>
      <w:r w:rsidRPr="00126824">
        <w:rPr>
          <w:rFonts w:ascii="Tahoma" w:eastAsia="Calibri" w:hAnsi="Tahoma" w:cs="Tahoma"/>
          <w:spacing w:val="8"/>
          <w:sz w:val="20"/>
          <w:szCs w:val="20"/>
          <w:shd w:val="clear" w:color="auto" w:fill="FFFFFF"/>
        </w:rPr>
        <w:t>#  #  #</w:t>
      </w:r>
      <w:r w:rsidRPr="00126824">
        <w:rPr>
          <w:rFonts w:ascii="Tahoma" w:eastAsia="Calibri" w:hAnsi="Tahoma" w:cs="Tahoma"/>
          <w:spacing w:val="8"/>
          <w:sz w:val="20"/>
          <w:szCs w:val="20"/>
          <w:shd w:val="clear" w:color="auto" w:fill="FFFFFF"/>
        </w:rPr>
        <w:br/>
      </w:r>
    </w:p>
    <w:p w14:paraId="163FBDA6" w14:textId="77777777" w:rsidR="00DA62A6" w:rsidRPr="00B83797" w:rsidRDefault="00DA62A6" w:rsidP="00DA62A6">
      <w:pPr>
        <w:spacing w:after="120"/>
        <w:rPr>
          <w:rFonts w:ascii="Tahoma" w:hAnsi="Tahoma" w:cs="Tahoma"/>
          <w:iCs/>
          <w:sz w:val="18"/>
          <w:szCs w:val="18"/>
        </w:rPr>
      </w:pPr>
      <w:r w:rsidRPr="00B83797">
        <w:rPr>
          <w:rFonts w:ascii="Tahoma" w:hAnsi="Tahoma" w:cs="Tahoma"/>
          <w:b/>
          <w:bCs/>
          <w:iCs/>
          <w:sz w:val="18"/>
          <w:szCs w:val="18"/>
        </w:rPr>
        <w:t>OSF HealthCare</w:t>
      </w:r>
      <w:r w:rsidRPr="00B83797">
        <w:rPr>
          <w:rFonts w:ascii="Tahoma" w:hAnsi="Tahoma" w:cs="Tahoma"/>
          <w:iCs/>
          <w:sz w:val="18"/>
          <w:szCs w:val="18"/>
        </w:rPr>
        <w:t xml:space="preserve"> is an integrated health system founded by The Sisters of the Third Order of St. Francis. Headquartered in Peoria, Illinois, OSF HealthCare has 16 hospitals – 10 acute care, five critical access, 1 transitional care - with 2,131 licensed beds throughout Illinois and Michigan. OSF employs nearly 24,000 Mission Partners across 150+ locations;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In 2020, OSF OnCall was established, a digital health operating unit, including a hospital-at-home. OSF OnCall delivers care and services when, where and how patients prefer to receive them. OSF HealthCare has been recognized by </w:t>
      </w:r>
      <w:r w:rsidRPr="00B83797">
        <w:rPr>
          <w:rFonts w:ascii="Tahoma" w:hAnsi="Tahoma" w:cs="Tahoma"/>
          <w:i/>
          <w:iCs/>
          <w:sz w:val="18"/>
          <w:szCs w:val="18"/>
        </w:rPr>
        <w:t xml:space="preserve">Fortune </w:t>
      </w:r>
      <w:r w:rsidRPr="00B83797">
        <w:rPr>
          <w:rFonts w:ascii="Tahoma" w:hAnsi="Tahoma" w:cs="Tahoma"/>
          <w:iCs/>
          <w:sz w:val="18"/>
          <w:szCs w:val="18"/>
        </w:rPr>
        <w:t xml:space="preserve">as one of the most innovative companies in the country. More at </w:t>
      </w:r>
      <w:hyperlink r:id="rId9" w:history="1">
        <w:r w:rsidRPr="00B83797">
          <w:rPr>
            <w:rFonts w:ascii="Tahoma" w:hAnsi="Tahoma" w:cs="Tahoma"/>
            <w:iCs/>
            <w:color w:val="0000FF"/>
            <w:sz w:val="18"/>
            <w:szCs w:val="18"/>
            <w:u w:val="single"/>
          </w:rPr>
          <w:t>osfhealthcare.org/</w:t>
        </w:r>
      </w:hyperlink>
      <w:r w:rsidRPr="00B83797">
        <w:rPr>
          <w:rFonts w:ascii="Tahoma" w:hAnsi="Tahoma" w:cs="Tahoma"/>
          <w:iCs/>
          <w:sz w:val="18"/>
          <w:szCs w:val="18"/>
        </w:rPr>
        <w:t xml:space="preserve">.  </w:t>
      </w:r>
    </w:p>
    <w:sectPr w:rsidR="00DA62A6" w:rsidRPr="00B83797" w:rsidSect="00B83797">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24"/>
    <w:rsid w:val="00011B99"/>
    <w:rsid w:val="000760B3"/>
    <w:rsid w:val="00126824"/>
    <w:rsid w:val="00137A77"/>
    <w:rsid w:val="00141B52"/>
    <w:rsid w:val="00191036"/>
    <w:rsid w:val="00232276"/>
    <w:rsid w:val="002417E5"/>
    <w:rsid w:val="002C15A2"/>
    <w:rsid w:val="00341A0E"/>
    <w:rsid w:val="003B5E63"/>
    <w:rsid w:val="003D17EE"/>
    <w:rsid w:val="00452561"/>
    <w:rsid w:val="00457BF2"/>
    <w:rsid w:val="004C3584"/>
    <w:rsid w:val="00533DF8"/>
    <w:rsid w:val="00571DEA"/>
    <w:rsid w:val="005A44ED"/>
    <w:rsid w:val="005E045C"/>
    <w:rsid w:val="0074219F"/>
    <w:rsid w:val="00840E91"/>
    <w:rsid w:val="008A5442"/>
    <w:rsid w:val="009051F7"/>
    <w:rsid w:val="00AE5470"/>
    <w:rsid w:val="00B83797"/>
    <w:rsid w:val="00CB7283"/>
    <w:rsid w:val="00DA62A6"/>
    <w:rsid w:val="00DB3202"/>
    <w:rsid w:val="00DF00B6"/>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37E2"/>
  <w15:chartTrackingRefBased/>
  <w15:docId w15:val="{8560D25B-DA34-4E01-9CA3-182A7958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126824"/>
    <w:rPr>
      <w:color w:val="007F9B" w:themeColor="hyperlink"/>
      <w:u w:val="single"/>
    </w:rPr>
  </w:style>
  <w:style w:type="character" w:styleId="UnresolvedMention">
    <w:name w:val="Unresolved Mention"/>
    <w:basedOn w:val="DefaultParagraphFont"/>
    <w:uiPriority w:val="99"/>
    <w:semiHidden/>
    <w:unhideWhenUsed/>
    <w:rsid w:val="00126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kershospitalreview.com/lists/44-acos-to-know-2024.html" TargetMode="External"/><Relationship Id="rId3" Type="http://schemas.openxmlformats.org/officeDocument/2006/relationships/styles" Target="styles.xml"/><Relationship Id="rId7" Type="http://schemas.openxmlformats.org/officeDocument/2006/relationships/hyperlink" Target="mailto:Shelli.J.Dankoff@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fhealthca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25vkbjf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25vkbjfh</Template>
  <TotalTime>17</TotalTime>
  <Pages>1</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Dankoff, Shelli J.</cp:lastModifiedBy>
  <cp:revision>4</cp:revision>
  <dcterms:created xsi:type="dcterms:W3CDTF">2024-11-18T19:11:00Z</dcterms:created>
  <dcterms:modified xsi:type="dcterms:W3CDTF">2024-11-18T19:37:00Z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