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9051F" w14:textId="60D4454E" w:rsidR="002E36A7" w:rsidRDefault="002E36A7" w:rsidP="009A19F3">
      <w:pPr>
        <w:ind w:left="-432" w:right="-432" w:hanging="360"/>
        <w:jc w:val="center"/>
        <w:rPr>
          <w:rFonts w:ascii="Tahoma" w:hAnsi="Tahoma" w:cs="Tahoma"/>
          <w:b/>
          <w:sz w:val="16"/>
          <w:szCs w:val="16"/>
        </w:rPr>
      </w:pPr>
      <w:r>
        <w:rPr>
          <w:rFonts w:ascii="Tahoma" w:hAnsi="Tahoma" w:cs="Tahoma"/>
          <w:b/>
          <w:noProof/>
          <w:sz w:val="22"/>
          <w:szCs w:val="22"/>
        </w:rPr>
        <w:drawing>
          <wp:inline distT="0" distB="0" distL="0" distR="0" wp14:anchorId="5758823B" wp14:editId="7EA3973F">
            <wp:extent cx="2590800" cy="523875"/>
            <wp:effectExtent l="0" t="0" r="0" b="9525"/>
            <wp:docPr id="1443969485"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969485" name="Picture 1" descr="A close up of a logo&#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0" cy="523875"/>
                    </a:xfrm>
                    <a:prstGeom prst="rect">
                      <a:avLst/>
                    </a:prstGeom>
                    <a:noFill/>
                    <a:ln>
                      <a:noFill/>
                    </a:ln>
                  </pic:spPr>
                </pic:pic>
              </a:graphicData>
            </a:graphic>
          </wp:inline>
        </w:drawing>
      </w:r>
      <w:r>
        <w:rPr>
          <w:rFonts w:ascii="Tahoma" w:hAnsi="Tahoma" w:cs="Tahoma"/>
          <w:b/>
          <w:sz w:val="22"/>
          <w:szCs w:val="22"/>
        </w:rPr>
        <w:t xml:space="preserve">   </w:t>
      </w:r>
    </w:p>
    <w:p w14:paraId="1896617D" w14:textId="77777777" w:rsidR="002E36A7" w:rsidRPr="00A130BB" w:rsidRDefault="002E36A7" w:rsidP="009A19F3">
      <w:pPr>
        <w:ind w:left="-432" w:right="-432" w:hanging="360"/>
        <w:jc w:val="center"/>
        <w:rPr>
          <w:rFonts w:ascii="Tahoma" w:hAnsi="Tahoma" w:cs="Tahoma"/>
          <w:b/>
          <w:sz w:val="16"/>
          <w:szCs w:val="16"/>
        </w:rPr>
      </w:pPr>
    </w:p>
    <w:p w14:paraId="5C26A930" w14:textId="34F3D59A" w:rsidR="002E36A7" w:rsidRPr="00AE7E75" w:rsidRDefault="002E36A7" w:rsidP="009A19F3">
      <w:pPr>
        <w:spacing w:line="276" w:lineRule="auto"/>
        <w:ind w:left="-432" w:right="-432"/>
        <w:jc w:val="center"/>
        <w:rPr>
          <w:rFonts w:ascii="Tahoma" w:hAnsi="Tahoma" w:cs="Tahoma"/>
          <w:i/>
          <w:sz w:val="24"/>
          <w:szCs w:val="24"/>
        </w:rPr>
      </w:pPr>
      <w:r w:rsidRPr="00C11026">
        <w:rPr>
          <w:rFonts w:ascii="Tahoma" w:hAnsi="Tahoma" w:cs="Tahoma"/>
          <w:b/>
          <w:sz w:val="28"/>
          <w:szCs w:val="28"/>
        </w:rPr>
        <w:t xml:space="preserve">OSF HealthCare </w:t>
      </w:r>
      <w:r>
        <w:rPr>
          <w:rFonts w:ascii="Tahoma" w:hAnsi="Tahoma" w:cs="Tahoma"/>
          <w:b/>
          <w:sz w:val="28"/>
          <w:szCs w:val="28"/>
        </w:rPr>
        <w:t>ready to open</w:t>
      </w:r>
      <w:r w:rsidRPr="00C11026">
        <w:rPr>
          <w:rFonts w:ascii="Tahoma" w:hAnsi="Tahoma" w:cs="Tahoma"/>
          <w:b/>
          <w:sz w:val="28"/>
          <w:szCs w:val="28"/>
        </w:rPr>
        <w:t xml:space="preserve"> </w:t>
      </w:r>
      <w:r w:rsidR="00BC181D">
        <w:rPr>
          <w:rFonts w:ascii="Tahoma" w:hAnsi="Tahoma" w:cs="Tahoma"/>
          <w:b/>
          <w:sz w:val="28"/>
          <w:szCs w:val="28"/>
        </w:rPr>
        <w:t>i</w:t>
      </w:r>
      <w:r w:rsidRPr="00C11026">
        <w:rPr>
          <w:rFonts w:ascii="Tahoma" w:hAnsi="Tahoma" w:cs="Tahoma"/>
          <w:b/>
          <w:sz w:val="28"/>
          <w:szCs w:val="28"/>
        </w:rPr>
        <w:t xml:space="preserve">npatient </w:t>
      </w:r>
      <w:r w:rsidR="00BC181D">
        <w:rPr>
          <w:rFonts w:ascii="Tahoma" w:hAnsi="Tahoma" w:cs="Tahoma"/>
          <w:b/>
          <w:sz w:val="28"/>
          <w:szCs w:val="28"/>
        </w:rPr>
        <w:t>o</w:t>
      </w:r>
      <w:r w:rsidRPr="00C11026">
        <w:rPr>
          <w:rFonts w:ascii="Tahoma" w:hAnsi="Tahoma" w:cs="Tahoma"/>
          <w:b/>
          <w:sz w:val="28"/>
          <w:szCs w:val="28"/>
        </w:rPr>
        <w:t xml:space="preserve">bstetrics and </w:t>
      </w:r>
      <w:r w:rsidR="00BC181D">
        <w:rPr>
          <w:rFonts w:ascii="Tahoma" w:hAnsi="Tahoma" w:cs="Tahoma"/>
          <w:b/>
          <w:sz w:val="28"/>
          <w:szCs w:val="28"/>
        </w:rPr>
        <w:t>intensive care unit</w:t>
      </w:r>
      <w:r w:rsidRPr="00C11026">
        <w:rPr>
          <w:rFonts w:ascii="Tahoma" w:hAnsi="Tahoma" w:cs="Tahoma"/>
          <w:b/>
          <w:sz w:val="28"/>
          <w:szCs w:val="28"/>
        </w:rPr>
        <w:t xml:space="preserve"> </w:t>
      </w:r>
      <w:r>
        <w:rPr>
          <w:rFonts w:ascii="Tahoma" w:hAnsi="Tahoma" w:cs="Tahoma"/>
          <w:b/>
          <w:sz w:val="28"/>
          <w:szCs w:val="28"/>
        </w:rPr>
        <w:t>s</w:t>
      </w:r>
      <w:r w:rsidRPr="00C11026">
        <w:rPr>
          <w:rFonts w:ascii="Tahoma" w:hAnsi="Tahoma" w:cs="Tahoma"/>
          <w:b/>
          <w:sz w:val="28"/>
          <w:szCs w:val="28"/>
        </w:rPr>
        <w:t xml:space="preserve">ervices </w:t>
      </w:r>
      <w:r>
        <w:rPr>
          <w:rFonts w:ascii="Tahoma" w:hAnsi="Tahoma" w:cs="Tahoma"/>
          <w:b/>
          <w:sz w:val="28"/>
          <w:szCs w:val="28"/>
        </w:rPr>
        <w:t>in</w:t>
      </w:r>
      <w:r w:rsidRPr="00C11026">
        <w:rPr>
          <w:rFonts w:ascii="Tahoma" w:hAnsi="Tahoma" w:cs="Tahoma"/>
          <w:b/>
          <w:sz w:val="28"/>
          <w:szCs w:val="28"/>
        </w:rPr>
        <w:t xml:space="preserve"> Peru </w:t>
      </w:r>
    </w:p>
    <w:p w14:paraId="523579CB" w14:textId="77777777" w:rsidR="002E36A7" w:rsidRDefault="002E36A7" w:rsidP="009A19F3">
      <w:pPr>
        <w:ind w:left="-432" w:right="-432"/>
        <w:rPr>
          <w:rFonts w:ascii="Tahoma" w:hAnsi="Tahoma" w:cs="Tahoma"/>
          <w:b/>
          <w:color w:val="FF0000"/>
        </w:rPr>
      </w:pPr>
    </w:p>
    <w:p w14:paraId="688E350A" w14:textId="77777777" w:rsidR="002E36A7" w:rsidRDefault="002E36A7" w:rsidP="009A19F3">
      <w:pPr>
        <w:ind w:left="-432" w:right="-432"/>
        <w:rPr>
          <w:rFonts w:ascii="Tahoma" w:hAnsi="Tahoma" w:cs="Tahoma"/>
          <w:b/>
          <w:color w:val="FF0000"/>
        </w:rPr>
      </w:pPr>
    </w:p>
    <w:p w14:paraId="3295A7BC" w14:textId="77777777" w:rsidR="002E36A7" w:rsidRDefault="002E36A7" w:rsidP="009A19F3">
      <w:pPr>
        <w:ind w:left="-432" w:right="-432"/>
        <w:rPr>
          <w:rFonts w:ascii="Tahoma" w:hAnsi="Tahoma" w:cs="Tahoma"/>
          <w:b/>
        </w:rPr>
      </w:pPr>
      <w:r w:rsidRPr="002E36A7">
        <w:rPr>
          <w:rFonts w:ascii="Tahoma" w:hAnsi="Tahoma" w:cs="Tahoma"/>
          <w:b/>
        </w:rPr>
        <w:t>FOR IMMEDIATE RELEASE</w:t>
      </w:r>
    </w:p>
    <w:p w14:paraId="381A05F2" w14:textId="022573F6" w:rsidR="009A19F3" w:rsidRPr="002E36A7" w:rsidRDefault="009A19F3" w:rsidP="009A19F3">
      <w:pPr>
        <w:ind w:left="-432" w:right="-432"/>
        <w:rPr>
          <w:rFonts w:ascii="Tahoma" w:hAnsi="Tahoma" w:cs="Tahoma"/>
          <w:b/>
        </w:rPr>
      </w:pPr>
      <w:r>
        <w:rPr>
          <w:rFonts w:ascii="Tahoma" w:hAnsi="Tahoma" w:cs="Tahoma"/>
          <w:b/>
        </w:rPr>
        <w:t>Contact: Paul Arco, Media Relations Coordinator, (815) 395-5036</w:t>
      </w:r>
    </w:p>
    <w:p w14:paraId="3250AEBD" w14:textId="4D8008B4" w:rsidR="002E36A7" w:rsidRPr="007B308F" w:rsidRDefault="002E36A7" w:rsidP="009A19F3">
      <w:pPr>
        <w:ind w:left="-432" w:right="-432" w:hanging="4320"/>
        <w:rPr>
          <w:rFonts w:ascii="Tahoma" w:hAnsi="Tahoma" w:cs="Tahoma"/>
        </w:rPr>
      </w:pPr>
      <w:r w:rsidRPr="00EC060D">
        <w:rPr>
          <w:rFonts w:ascii="Tahoma" w:hAnsi="Tahoma" w:cs="Tahoma"/>
        </w:rPr>
        <w:t>Co</w:t>
      </w:r>
    </w:p>
    <w:p w14:paraId="79463BDA" w14:textId="7274728F" w:rsidR="002E36A7" w:rsidRDefault="002E36A7" w:rsidP="009A19F3">
      <w:pPr>
        <w:spacing w:after="10" w:line="276" w:lineRule="auto"/>
        <w:ind w:left="-432" w:right="-432"/>
        <w:rPr>
          <w:rFonts w:ascii="Tahoma" w:hAnsi="Tahoma" w:cs="Tahoma"/>
        </w:rPr>
      </w:pPr>
      <w:r w:rsidRPr="00C11026">
        <w:rPr>
          <w:rFonts w:ascii="Tahoma" w:hAnsi="Tahoma" w:cs="Tahoma"/>
          <w:b/>
          <w:bCs/>
        </w:rPr>
        <w:t>(</w:t>
      </w:r>
      <w:r>
        <w:rPr>
          <w:rFonts w:ascii="Tahoma" w:hAnsi="Tahoma" w:cs="Tahoma"/>
          <w:b/>
          <w:bCs/>
        </w:rPr>
        <w:t>Peru</w:t>
      </w:r>
      <w:r w:rsidRPr="00C11026">
        <w:rPr>
          <w:rFonts w:ascii="Tahoma" w:hAnsi="Tahoma" w:cs="Tahoma"/>
          <w:b/>
          <w:bCs/>
        </w:rPr>
        <w:t>, Illinois |</w:t>
      </w:r>
      <w:r>
        <w:rPr>
          <w:rFonts w:ascii="Tahoma" w:hAnsi="Tahoma" w:cs="Tahoma"/>
          <w:b/>
          <w:bCs/>
        </w:rPr>
        <w:t xml:space="preserve"> December </w:t>
      </w:r>
      <w:r w:rsidR="00FB4D24">
        <w:rPr>
          <w:rFonts w:ascii="Tahoma" w:hAnsi="Tahoma" w:cs="Tahoma"/>
          <w:b/>
          <w:bCs/>
        </w:rPr>
        <w:t>2</w:t>
      </w:r>
      <w:r w:rsidRPr="00C11026">
        <w:rPr>
          <w:rFonts w:ascii="Tahoma" w:hAnsi="Tahoma" w:cs="Tahoma"/>
          <w:b/>
          <w:bCs/>
        </w:rPr>
        <w:t>, 2025)</w:t>
      </w:r>
      <w:r w:rsidRPr="00C11026">
        <w:rPr>
          <w:rFonts w:ascii="Tahoma" w:hAnsi="Tahoma" w:cs="Tahoma"/>
        </w:rPr>
        <w:t xml:space="preserve"> – </w:t>
      </w:r>
      <w:r w:rsidR="00227ADA">
        <w:rPr>
          <w:rFonts w:ascii="Tahoma" w:hAnsi="Tahoma" w:cs="Tahoma"/>
        </w:rPr>
        <w:t>As</w:t>
      </w:r>
      <w:r w:rsidR="009705F0">
        <w:rPr>
          <w:rFonts w:ascii="Tahoma" w:hAnsi="Tahoma" w:cs="Tahoma"/>
        </w:rPr>
        <w:t xml:space="preserve"> a commitment to building a sustainable regional model, OSF HealthCare will transition inpatient obstetrics </w:t>
      </w:r>
      <w:r w:rsidR="00FB4D24">
        <w:rPr>
          <w:rFonts w:ascii="Tahoma" w:hAnsi="Tahoma" w:cs="Tahoma"/>
        </w:rPr>
        <w:t xml:space="preserve">(OB) </w:t>
      </w:r>
      <w:r w:rsidR="009705F0">
        <w:rPr>
          <w:rFonts w:ascii="Tahoma" w:hAnsi="Tahoma" w:cs="Tahoma"/>
        </w:rPr>
        <w:t xml:space="preserve">and intensive care unit (ICU) services from Ottawa to Peru, on Wednesday, December 3, 2025. The move </w:t>
      </w:r>
      <w:r w:rsidR="00AA025D">
        <w:rPr>
          <w:rFonts w:ascii="Tahoma" w:hAnsi="Tahoma" w:cs="Tahoma"/>
        </w:rPr>
        <w:t>was approved</w:t>
      </w:r>
      <w:r w:rsidR="009705F0">
        <w:rPr>
          <w:rFonts w:ascii="Tahoma" w:hAnsi="Tahoma" w:cs="Tahoma"/>
        </w:rPr>
        <w:t xml:space="preserve"> </w:t>
      </w:r>
      <w:r w:rsidR="00AA025D">
        <w:rPr>
          <w:rFonts w:ascii="Tahoma" w:hAnsi="Tahoma" w:cs="Tahoma"/>
        </w:rPr>
        <w:t xml:space="preserve">by </w:t>
      </w:r>
      <w:r w:rsidRPr="00AD6405">
        <w:rPr>
          <w:rFonts w:ascii="Tahoma" w:hAnsi="Tahoma" w:cs="Tahoma"/>
        </w:rPr>
        <w:t>the Illinois Health Facilities and Services Review Board</w:t>
      </w:r>
      <w:r w:rsidR="009705F0">
        <w:rPr>
          <w:rFonts w:ascii="Tahoma" w:hAnsi="Tahoma" w:cs="Tahoma"/>
        </w:rPr>
        <w:t>.</w:t>
      </w:r>
    </w:p>
    <w:p w14:paraId="3818DB86" w14:textId="77777777" w:rsidR="002E36A7" w:rsidRDefault="002E36A7" w:rsidP="009A19F3">
      <w:pPr>
        <w:spacing w:after="10" w:line="276" w:lineRule="auto"/>
        <w:ind w:left="-432" w:right="-432"/>
        <w:rPr>
          <w:rFonts w:ascii="Tahoma" w:hAnsi="Tahoma" w:cs="Tahoma"/>
        </w:rPr>
      </w:pPr>
    </w:p>
    <w:p w14:paraId="0238BCBE" w14:textId="78407BD7" w:rsidR="00D33E27" w:rsidRDefault="002E36A7" w:rsidP="009A19F3">
      <w:pPr>
        <w:spacing w:after="10" w:line="276" w:lineRule="auto"/>
        <w:ind w:left="-432" w:right="-432"/>
        <w:rPr>
          <w:rFonts w:ascii="Tahoma" w:hAnsi="Tahoma" w:cs="Tahoma"/>
        </w:rPr>
      </w:pPr>
      <w:r w:rsidRPr="002E36A7">
        <w:rPr>
          <w:rFonts w:ascii="Tahoma" w:hAnsi="Tahoma" w:cs="Tahoma"/>
        </w:rPr>
        <w:t>Starting at 7</w:t>
      </w:r>
      <w:r>
        <w:rPr>
          <w:rFonts w:ascii="Tahoma" w:hAnsi="Tahoma" w:cs="Tahoma"/>
        </w:rPr>
        <w:t xml:space="preserve"> </w:t>
      </w:r>
      <w:r w:rsidRPr="002E36A7">
        <w:rPr>
          <w:rFonts w:ascii="Tahoma" w:hAnsi="Tahoma" w:cs="Tahoma"/>
        </w:rPr>
        <w:t>a.m.</w:t>
      </w:r>
      <w:r w:rsidR="00D33E27">
        <w:rPr>
          <w:rFonts w:ascii="Tahoma" w:hAnsi="Tahoma" w:cs="Tahoma"/>
        </w:rPr>
        <w:t>, on December 3,</w:t>
      </w:r>
      <w:r w:rsidRPr="002E36A7">
        <w:rPr>
          <w:rFonts w:ascii="Tahoma" w:hAnsi="Tahoma" w:cs="Tahoma"/>
        </w:rPr>
        <w:t xml:space="preserve"> all new labor patients will be directed to</w:t>
      </w:r>
      <w:r w:rsidR="00BC181D">
        <w:rPr>
          <w:rFonts w:ascii="Tahoma" w:hAnsi="Tahoma" w:cs="Tahoma"/>
        </w:rPr>
        <w:t xml:space="preserve"> OSF HealthCare Saint Elizabeth</w:t>
      </w:r>
      <w:r w:rsidR="00FB4D24">
        <w:rPr>
          <w:rFonts w:ascii="Tahoma" w:hAnsi="Tahoma" w:cs="Tahoma"/>
        </w:rPr>
        <w:t xml:space="preserve"> Medical Center — </w:t>
      </w:r>
      <w:r w:rsidRPr="002E36A7">
        <w:rPr>
          <w:rFonts w:ascii="Tahoma" w:hAnsi="Tahoma" w:cs="Tahoma"/>
        </w:rPr>
        <w:t xml:space="preserve">Peru. </w:t>
      </w:r>
      <w:r w:rsidR="00D33E27">
        <w:rPr>
          <w:rFonts w:ascii="Tahoma" w:hAnsi="Tahoma" w:cs="Tahoma"/>
        </w:rPr>
        <w:t xml:space="preserve">In addition, OSF HealthCare </w:t>
      </w:r>
      <w:r w:rsidRPr="002E36A7">
        <w:rPr>
          <w:rFonts w:ascii="Tahoma" w:hAnsi="Tahoma" w:cs="Tahoma"/>
        </w:rPr>
        <w:t xml:space="preserve">will continue to provide </w:t>
      </w:r>
      <w:r w:rsidR="00D473EF">
        <w:rPr>
          <w:rFonts w:ascii="Tahoma" w:hAnsi="Tahoma" w:cs="Tahoma"/>
        </w:rPr>
        <w:t xml:space="preserve">outpatient </w:t>
      </w:r>
      <w:r w:rsidRPr="002E36A7">
        <w:rPr>
          <w:rFonts w:ascii="Tahoma" w:hAnsi="Tahoma" w:cs="Tahoma"/>
        </w:rPr>
        <w:t xml:space="preserve">OB and </w:t>
      </w:r>
      <w:r w:rsidR="00FB4D24">
        <w:rPr>
          <w:rFonts w:ascii="Tahoma" w:hAnsi="Tahoma" w:cs="Tahoma"/>
        </w:rPr>
        <w:t>p</w:t>
      </w:r>
      <w:r w:rsidRPr="002E36A7">
        <w:rPr>
          <w:rFonts w:ascii="Tahoma" w:hAnsi="Tahoma" w:cs="Tahoma"/>
        </w:rPr>
        <w:t xml:space="preserve">ediatric care at </w:t>
      </w:r>
      <w:proofErr w:type="gramStart"/>
      <w:r w:rsidRPr="002E36A7">
        <w:rPr>
          <w:rFonts w:ascii="Tahoma" w:hAnsi="Tahoma" w:cs="Tahoma"/>
        </w:rPr>
        <w:t>clinic</w:t>
      </w:r>
      <w:proofErr w:type="gramEnd"/>
      <w:r w:rsidRPr="002E36A7">
        <w:rPr>
          <w:rFonts w:ascii="Tahoma" w:hAnsi="Tahoma" w:cs="Tahoma"/>
        </w:rPr>
        <w:t xml:space="preserve"> locations </w:t>
      </w:r>
      <w:r w:rsidR="00D33E27">
        <w:rPr>
          <w:rFonts w:ascii="Tahoma" w:hAnsi="Tahoma" w:cs="Tahoma"/>
        </w:rPr>
        <w:t>throughout</w:t>
      </w:r>
      <w:r w:rsidRPr="002E36A7">
        <w:rPr>
          <w:rFonts w:ascii="Tahoma" w:hAnsi="Tahoma" w:cs="Tahoma"/>
        </w:rPr>
        <w:t xml:space="preserve"> the I-80 </w:t>
      </w:r>
      <w:r w:rsidR="00AA025D">
        <w:rPr>
          <w:rFonts w:ascii="Tahoma" w:hAnsi="Tahoma" w:cs="Tahoma"/>
        </w:rPr>
        <w:t>region</w:t>
      </w:r>
      <w:r w:rsidRPr="002E36A7">
        <w:rPr>
          <w:rFonts w:ascii="Tahoma" w:hAnsi="Tahoma" w:cs="Tahoma"/>
        </w:rPr>
        <w:t xml:space="preserve">. </w:t>
      </w:r>
    </w:p>
    <w:p w14:paraId="798A6877" w14:textId="77777777" w:rsidR="00D33E27" w:rsidRDefault="00D33E27" w:rsidP="009A19F3">
      <w:pPr>
        <w:spacing w:after="10" w:line="276" w:lineRule="auto"/>
        <w:ind w:left="-432" w:right="-432"/>
        <w:rPr>
          <w:rFonts w:ascii="Tahoma" w:hAnsi="Tahoma" w:cs="Tahoma"/>
        </w:rPr>
      </w:pPr>
    </w:p>
    <w:p w14:paraId="278EF6C4" w14:textId="7A45BF07" w:rsidR="009A19F3" w:rsidRPr="009A19F3" w:rsidRDefault="002E36A7" w:rsidP="009A19F3">
      <w:pPr>
        <w:spacing w:after="10" w:line="276" w:lineRule="auto"/>
        <w:ind w:left="-432" w:right="-432"/>
        <w:rPr>
          <w:rFonts w:ascii="Tahoma" w:hAnsi="Tahoma" w:cs="Tahoma"/>
        </w:rPr>
      </w:pPr>
      <w:r w:rsidRPr="002E36A7">
        <w:rPr>
          <w:rFonts w:ascii="Tahoma" w:hAnsi="Tahoma" w:cs="Tahoma"/>
        </w:rPr>
        <w:t xml:space="preserve">Emergency Departments </w:t>
      </w:r>
      <w:r w:rsidR="009A19F3">
        <w:rPr>
          <w:rFonts w:ascii="Tahoma" w:hAnsi="Tahoma" w:cs="Tahoma"/>
        </w:rPr>
        <w:t xml:space="preserve">(ED) </w:t>
      </w:r>
      <w:r w:rsidR="00AA025D">
        <w:rPr>
          <w:rFonts w:ascii="Tahoma" w:hAnsi="Tahoma" w:cs="Tahoma"/>
        </w:rPr>
        <w:t xml:space="preserve">in </w:t>
      </w:r>
      <w:r w:rsidR="00AA025D" w:rsidRPr="009A19F3">
        <w:rPr>
          <w:rFonts w:ascii="Tahoma" w:hAnsi="Tahoma" w:cs="Tahoma"/>
        </w:rPr>
        <w:t xml:space="preserve">Streator, Peru, Ottawa, Mendota and Princeton </w:t>
      </w:r>
      <w:r w:rsidRPr="002E36A7">
        <w:rPr>
          <w:rFonts w:ascii="Tahoma" w:hAnsi="Tahoma" w:cs="Tahoma"/>
        </w:rPr>
        <w:t xml:space="preserve">remain fully equipped to care for all patients, including those requiring </w:t>
      </w:r>
      <w:r w:rsidR="00866274">
        <w:rPr>
          <w:rFonts w:ascii="Tahoma" w:hAnsi="Tahoma" w:cs="Tahoma"/>
        </w:rPr>
        <w:t xml:space="preserve">emergent </w:t>
      </w:r>
      <w:r w:rsidRPr="002E36A7">
        <w:rPr>
          <w:rFonts w:ascii="Tahoma" w:hAnsi="Tahoma" w:cs="Tahoma"/>
        </w:rPr>
        <w:t xml:space="preserve">OB and pediatric services. </w:t>
      </w:r>
      <w:r w:rsidR="009A19F3" w:rsidRPr="009A19F3">
        <w:rPr>
          <w:rFonts w:ascii="Tahoma" w:hAnsi="Tahoma" w:cs="Tahoma"/>
        </w:rPr>
        <w:t>The ED is a comprehensive, patient</w:t>
      </w:r>
      <w:r w:rsidR="009A19F3" w:rsidRPr="009A19F3">
        <w:rPr>
          <w:rFonts w:ascii="Tahoma" w:hAnsi="Tahoma" w:cs="Tahoma"/>
        </w:rPr>
        <w:noBreakHyphen/>
        <w:t>focused hub</w:t>
      </w:r>
      <w:r w:rsidR="00FB4D24">
        <w:rPr>
          <w:rFonts w:ascii="Tahoma" w:hAnsi="Tahoma" w:cs="Tahoma"/>
        </w:rPr>
        <w:t>,</w:t>
      </w:r>
      <w:r w:rsidR="009A19F3" w:rsidRPr="009A19F3">
        <w:rPr>
          <w:rFonts w:ascii="Tahoma" w:hAnsi="Tahoma" w:cs="Tahoma"/>
        </w:rPr>
        <w:t xml:space="preserve"> combining advanced technology, specialized expertise, and compassionate care to meet urgent health needs</w:t>
      </w:r>
      <w:r w:rsidR="00AA025D">
        <w:rPr>
          <w:rFonts w:ascii="Tahoma" w:hAnsi="Tahoma" w:cs="Tahoma"/>
        </w:rPr>
        <w:t xml:space="preserve"> in any location at any time</w:t>
      </w:r>
      <w:r w:rsidR="009A19F3" w:rsidRPr="009A19F3">
        <w:rPr>
          <w:rFonts w:ascii="Tahoma" w:hAnsi="Tahoma" w:cs="Tahoma"/>
        </w:rPr>
        <w:t>.</w:t>
      </w:r>
    </w:p>
    <w:p w14:paraId="0F17C86A" w14:textId="77777777" w:rsidR="00BC181D" w:rsidRDefault="00BC181D" w:rsidP="009A19F3">
      <w:pPr>
        <w:spacing w:after="10" w:line="276" w:lineRule="auto"/>
        <w:ind w:left="-432" w:right="-432"/>
        <w:rPr>
          <w:rFonts w:ascii="Tahoma" w:hAnsi="Tahoma" w:cs="Tahoma"/>
        </w:rPr>
      </w:pPr>
    </w:p>
    <w:p w14:paraId="7832FA8B" w14:textId="60BE6C5F" w:rsidR="00AA025D" w:rsidRDefault="00AA025D" w:rsidP="00AA025D">
      <w:pPr>
        <w:spacing w:after="10" w:line="276" w:lineRule="auto"/>
        <w:ind w:left="-432" w:right="-432"/>
        <w:rPr>
          <w:rFonts w:ascii="Tahoma" w:hAnsi="Tahoma" w:cs="Tahoma"/>
        </w:rPr>
      </w:pPr>
      <w:r w:rsidRPr="00AD6405">
        <w:rPr>
          <w:rFonts w:ascii="Tahoma" w:hAnsi="Tahoma" w:cs="Tahoma"/>
        </w:rPr>
        <w:t xml:space="preserve">As part of this transition, OSF HealthCare will </w:t>
      </w:r>
      <w:r w:rsidR="00866274">
        <w:rPr>
          <w:rFonts w:ascii="Tahoma" w:hAnsi="Tahoma" w:cs="Tahoma"/>
        </w:rPr>
        <w:t>implement</w:t>
      </w:r>
      <w:r w:rsidRPr="00AD6405">
        <w:rPr>
          <w:rFonts w:ascii="Tahoma" w:hAnsi="Tahoma" w:cs="Tahoma"/>
        </w:rPr>
        <w:t xml:space="preserve"> intermediate care beds in Ottawa</w:t>
      </w:r>
      <w:r>
        <w:rPr>
          <w:rFonts w:ascii="Tahoma" w:hAnsi="Tahoma" w:cs="Tahoma"/>
        </w:rPr>
        <w:t xml:space="preserve">. </w:t>
      </w:r>
      <w:r w:rsidRPr="00AD6405">
        <w:rPr>
          <w:rFonts w:ascii="Tahoma" w:hAnsi="Tahoma" w:cs="Tahoma"/>
        </w:rPr>
        <w:t xml:space="preserve">Intermediate care offers continuous monitoring, skilled nursing and enhanced clinical oversight, which benefits patients recovering from illness, surgery, or other conditions that require more than standard inpatient care. </w:t>
      </w:r>
    </w:p>
    <w:p w14:paraId="056DA82C" w14:textId="77777777" w:rsidR="00AA025D" w:rsidRDefault="00AA025D" w:rsidP="009A19F3">
      <w:pPr>
        <w:spacing w:after="10" w:line="276" w:lineRule="auto"/>
        <w:ind w:left="-432" w:right="-432"/>
        <w:rPr>
          <w:rFonts w:ascii="Tahoma" w:hAnsi="Tahoma" w:cs="Tahoma"/>
        </w:rPr>
      </w:pPr>
    </w:p>
    <w:p w14:paraId="4A1A818D" w14:textId="1C006F81" w:rsidR="002E36A7" w:rsidRPr="00AD6405" w:rsidRDefault="002E36A7" w:rsidP="00AA025D">
      <w:pPr>
        <w:spacing w:after="10" w:line="276" w:lineRule="auto"/>
        <w:ind w:left="-432" w:right="-432"/>
        <w:rPr>
          <w:rFonts w:ascii="Tahoma" w:hAnsi="Tahoma" w:cs="Tahoma"/>
        </w:rPr>
      </w:pPr>
      <w:r w:rsidRPr="002E36A7">
        <w:rPr>
          <w:rFonts w:ascii="Tahoma" w:hAnsi="Tahoma" w:cs="Tahoma"/>
        </w:rPr>
        <w:t>In case of an emergency, please call 9</w:t>
      </w:r>
      <w:r w:rsidR="00FB4D24">
        <w:rPr>
          <w:rFonts w:ascii="Tahoma" w:hAnsi="Tahoma" w:cs="Tahoma"/>
        </w:rPr>
        <w:t>-</w:t>
      </w:r>
      <w:r w:rsidRPr="002E36A7">
        <w:rPr>
          <w:rFonts w:ascii="Tahoma" w:hAnsi="Tahoma" w:cs="Tahoma"/>
        </w:rPr>
        <w:t>1</w:t>
      </w:r>
      <w:r w:rsidR="00FB4D24">
        <w:rPr>
          <w:rFonts w:ascii="Tahoma" w:hAnsi="Tahoma" w:cs="Tahoma"/>
        </w:rPr>
        <w:t>-</w:t>
      </w:r>
      <w:r w:rsidRPr="002E36A7">
        <w:rPr>
          <w:rFonts w:ascii="Tahoma" w:hAnsi="Tahoma" w:cs="Tahoma"/>
        </w:rPr>
        <w:t xml:space="preserve">1 or proceed to the nearest Emergency </w:t>
      </w:r>
      <w:r w:rsidR="00FB31B3">
        <w:rPr>
          <w:rFonts w:ascii="Tahoma" w:hAnsi="Tahoma" w:cs="Tahoma"/>
        </w:rPr>
        <w:t>Department</w:t>
      </w:r>
      <w:r w:rsidRPr="002E36A7">
        <w:rPr>
          <w:rFonts w:ascii="Tahoma" w:hAnsi="Tahoma" w:cs="Tahoma"/>
        </w:rPr>
        <w:t>. For any inquiries, contact your provider through OSF MyChart</w:t>
      </w:r>
      <w:r w:rsidR="00FB31B3">
        <w:rPr>
          <w:rFonts w:ascii="Tahoma" w:hAnsi="Tahoma" w:cs="Tahoma"/>
        </w:rPr>
        <w:t>,</w:t>
      </w:r>
      <w:r w:rsidRPr="002E36A7">
        <w:rPr>
          <w:rFonts w:ascii="Tahoma" w:hAnsi="Tahoma" w:cs="Tahoma"/>
        </w:rPr>
        <w:t xml:space="preserve"> or call the OSF Medical Group office at (815) 431-0435, Monday through Friday, from 8 a.m. to 5 p.m.</w:t>
      </w:r>
    </w:p>
    <w:p w14:paraId="68DBAF48" w14:textId="77777777" w:rsidR="009A19F3" w:rsidRDefault="009A19F3" w:rsidP="009A19F3">
      <w:pPr>
        <w:spacing w:after="10" w:line="276" w:lineRule="auto"/>
        <w:ind w:left="-432" w:right="-432"/>
        <w:rPr>
          <w:rFonts w:ascii="Tahoma" w:hAnsi="Tahoma" w:cs="Tahoma"/>
        </w:rPr>
      </w:pPr>
    </w:p>
    <w:p w14:paraId="02CF374E" w14:textId="60776F9D" w:rsidR="002E36A7" w:rsidRPr="00AD6405" w:rsidRDefault="009A19F3" w:rsidP="00AA025D">
      <w:pPr>
        <w:spacing w:after="10" w:line="276" w:lineRule="auto"/>
        <w:ind w:left="-432" w:right="-432" w:firstLine="725"/>
        <w:rPr>
          <w:rFonts w:ascii="Tahoma" w:hAnsi="Tahoma" w:cs="Tahoma"/>
        </w:rPr>
      </w:pPr>
      <w:r>
        <w:rPr>
          <w:rFonts w:ascii="Tahoma" w:hAnsi="Tahoma" w:cs="Tahoma"/>
        </w:rPr>
        <w:t xml:space="preserve">                                                          -30-</w:t>
      </w:r>
    </w:p>
    <w:p w14:paraId="07EE3BF2" w14:textId="77777777" w:rsidR="009A19F3" w:rsidRPr="009A19F3" w:rsidRDefault="009A19F3" w:rsidP="009A19F3">
      <w:pPr>
        <w:ind w:left="-432" w:right="-432"/>
      </w:pPr>
    </w:p>
    <w:p w14:paraId="39B5DE65" w14:textId="716727BD" w:rsidR="005E045C" w:rsidRPr="00AA025D" w:rsidRDefault="009A19F3" w:rsidP="00AA025D">
      <w:pPr>
        <w:ind w:left="-432" w:right="-432"/>
        <w:rPr>
          <w:sz w:val="22"/>
          <w:szCs w:val="22"/>
        </w:rPr>
      </w:pPr>
      <w:r w:rsidRPr="009A19F3">
        <w:rPr>
          <w:b/>
          <w:bCs/>
          <w:sz w:val="22"/>
          <w:szCs w:val="22"/>
        </w:rPr>
        <w:t>OSF HealthCare</w:t>
      </w:r>
      <w:r w:rsidRPr="009A19F3">
        <w:rPr>
          <w:sz w:val="22"/>
          <w:szCs w:val="22"/>
        </w:rPr>
        <w:t xml:space="preserve"> is an integrated health system founded by The Sisters of the Third Order of St. Francis. Headquartered in Peoria, Illinois, OSF has 17 hospitals – 11 acute care, five critical access and one continuing care – with 2,305 licensed beds throughout Illinois and Michigan. OSF employs over 27,000 Mission Partners across more than 170 locations. These include OSF HealthCare Children’s Hospital of Illinois, the third largest pediatric hospital in the state, and OSF </w:t>
      </w:r>
      <w:proofErr w:type="spellStart"/>
      <w:r w:rsidRPr="009A19F3">
        <w:rPr>
          <w:sz w:val="22"/>
          <w:szCs w:val="22"/>
        </w:rPr>
        <w:t>OnCall</w:t>
      </w:r>
      <w:proofErr w:type="spellEnd"/>
      <w:r w:rsidRPr="009A19F3">
        <w:rPr>
          <w:sz w:val="22"/>
          <w:szCs w:val="22"/>
        </w:rPr>
        <w:t xml:space="preserve">, its digital health operating entity that offers hospital-at-home care. Advances in health care transformation take place through OSF Innovation as well as OSF Ventures, which provides investment capital for promising health care innovation startups. In addition, OSF operates two </w:t>
      </w:r>
      <w:proofErr w:type="gramStart"/>
      <w:r w:rsidRPr="009A19F3">
        <w:rPr>
          <w:sz w:val="22"/>
          <w:szCs w:val="22"/>
        </w:rPr>
        <w:t>colleges of nursing</w:t>
      </w:r>
      <w:proofErr w:type="gramEnd"/>
      <w:r w:rsidRPr="009A19F3">
        <w:rPr>
          <w:sz w:val="22"/>
          <w:szCs w:val="22"/>
        </w:rPr>
        <w:t xml:space="preserve">; OSF Home Care Services, an extensive network of home health and hospice services; </w:t>
      </w:r>
      <w:proofErr w:type="spellStart"/>
      <w:r w:rsidRPr="009A19F3">
        <w:rPr>
          <w:sz w:val="22"/>
          <w:szCs w:val="22"/>
        </w:rPr>
        <w:t>Pointcore</w:t>
      </w:r>
      <w:proofErr w:type="spellEnd"/>
      <w:r w:rsidRPr="009A19F3">
        <w:rPr>
          <w:sz w:val="22"/>
          <w:szCs w:val="22"/>
        </w:rPr>
        <w:t xml:space="preserve">, Inc., which is composed of health care-related businesses; and OSF HealthCare Foundation, the philanthropic arm of the organization. OSF HealthCare has been recognized by Fortune as one of the most innovative companies in the country and by Forbes as one of America’s Best Employers for Healthcare Professionals. Learn more at </w:t>
      </w:r>
      <w:hyperlink r:id="rId7" w:history="1">
        <w:r w:rsidRPr="009A19F3">
          <w:rPr>
            <w:rStyle w:val="Hyperlink"/>
            <w:sz w:val="22"/>
            <w:szCs w:val="22"/>
          </w:rPr>
          <w:t>osfhealthcare.org</w:t>
        </w:r>
      </w:hyperlink>
      <w:r w:rsidRPr="009A19F3">
        <w:rPr>
          <w:sz w:val="22"/>
          <w:szCs w:val="22"/>
        </w:rPr>
        <w:t xml:space="preserve">.  </w:t>
      </w:r>
    </w:p>
    <w:sectPr w:rsidR="005E045C" w:rsidRPr="00AA025D"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6A7"/>
    <w:rsid w:val="00137A77"/>
    <w:rsid w:val="00191036"/>
    <w:rsid w:val="001F33AC"/>
    <w:rsid w:val="00227ADA"/>
    <w:rsid w:val="002417E5"/>
    <w:rsid w:val="002B66BB"/>
    <w:rsid w:val="002E36A7"/>
    <w:rsid w:val="003B5E63"/>
    <w:rsid w:val="003D17EE"/>
    <w:rsid w:val="004277EF"/>
    <w:rsid w:val="004C3584"/>
    <w:rsid w:val="00571DEA"/>
    <w:rsid w:val="005A44ED"/>
    <w:rsid w:val="005B7C0E"/>
    <w:rsid w:val="005E045C"/>
    <w:rsid w:val="0074219F"/>
    <w:rsid w:val="00840E91"/>
    <w:rsid w:val="00866274"/>
    <w:rsid w:val="009051F7"/>
    <w:rsid w:val="00963256"/>
    <w:rsid w:val="009705F0"/>
    <w:rsid w:val="009A19F3"/>
    <w:rsid w:val="009F655E"/>
    <w:rsid w:val="00AA025D"/>
    <w:rsid w:val="00BC181D"/>
    <w:rsid w:val="00CB7283"/>
    <w:rsid w:val="00D33E27"/>
    <w:rsid w:val="00D473EF"/>
    <w:rsid w:val="00DB3202"/>
    <w:rsid w:val="00E10E31"/>
    <w:rsid w:val="00E16FA1"/>
    <w:rsid w:val="00E25D25"/>
    <w:rsid w:val="00EF4762"/>
    <w:rsid w:val="00FB31B3"/>
    <w:rsid w:val="00FB4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2E0EB"/>
  <w15:chartTrackingRefBased/>
  <w15:docId w15:val="{0F5AF0CF-6CAC-467E-A3F4-2401C6D8C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6A7"/>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191036"/>
    <w:pPr>
      <w:keepNext/>
      <w:keepLines/>
      <w:spacing w:before="240"/>
      <w:outlineLvl w:val="0"/>
    </w:pPr>
    <w:rPr>
      <w:rFonts w:ascii="Cambria" w:eastAsiaTheme="majorEastAsia" w:hAnsi="Cambr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ascii="Cambria" w:eastAsiaTheme="majorEastAsia" w:hAnsi="Cambr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ascii="Cambria" w:eastAsiaTheme="majorEastAsia" w:hAnsi="Cambria" w:cstheme="majorBidi"/>
      <w:color w:val="000000" w:themeColor="text1"/>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ascii="Cambria" w:eastAsiaTheme="majorEastAsia" w:hAnsi="Cambr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rFonts w:ascii="Cambria" w:eastAsiaTheme="minorHAnsi" w:hAnsi="Cambria" w:cstheme="minorBidi"/>
      <w:b/>
      <w:i/>
      <w:iCs/>
      <w:color w:val="64A70B" w:themeColor="accent1"/>
      <w:sz w:val="28"/>
      <w:szCs w:val="24"/>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rFonts w:ascii="Cambria" w:eastAsiaTheme="minorHAnsi" w:hAnsi="Cambria" w:cstheme="minorBidi"/>
      <w:i/>
      <w:iCs/>
      <w:color w:val="404040" w:themeColor="text1" w:themeTint="BF"/>
      <w:sz w:val="32"/>
      <w:szCs w:val="24"/>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eastAsiaTheme="minorHAns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rFonts w:ascii="Cambria" w:eastAsiaTheme="minorHAnsi" w:hAnsi="Cambria" w:cstheme="minorBidi"/>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rFonts w:ascii="Cambria" w:eastAsiaTheme="minorHAnsi" w:hAnsi="Cambria" w:cstheme="minorBidi"/>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rPr>
      <w:rFonts w:ascii="Cambria" w:eastAsiaTheme="minorHAnsi" w:hAnsi="Cambria" w:cstheme="minorBidi"/>
      <w:sz w:val="22"/>
      <w:szCs w:val="24"/>
    </w:r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rPr>
      <w:rFonts w:ascii="Cambria" w:eastAsiaTheme="minorHAnsi" w:hAnsi="Cambria" w:cstheme="minorBidi"/>
      <w:sz w:val="22"/>
      <w:szCs w:val="24"/>
    </w:rPr>
  </w:style>
  <w:style w:type="character" w:styleId="Hyperlink">
    <w:name w:val="Hyperlink"/>
    <w:basedOn w:val="DefaultParagraphFont"/>
    <w:uiPriority w:val="99"/>
    <w:unhideWhenUsed/>
    <w:rsid w:val="009A19F3"/>
    <w:rPr>
      <w:color w:val="007F9B" w:themeColor="hyperlink"/>
      <w:u w:val="single"/>
    </w:rPr>
  </w:style>
  <w:style w:type="character" w:styleId="UnresolvedMention">
    <w:name w:val="Unresolved Mention"/>
    <w:basedOn w:val="DefaultParagraphFont"/>
    <w:uiPriority w:val="99"/>
    <w:semiHidden/>
    <w:unhideWhenUsed/>
    <w:rsid w:val="009A19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osfhealthcare.org/blog/osf-taking-steps-to-reduce-opioid-use-and-dependen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0ehvgevd.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0ehvgevd</Template>
  <TotalTime>89</TotalTime>
  <Pages>1</Pages>
  <Words>467</Words>
  <Characters>2655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9</cp:revision>
  <dcterms:created xsi:type="dcterms:W3CDTF">2025-12-01T16:00:00Z</dcterms:created>
  <dcterms:modified xsi:type="dcterms:W3CDTF">2025-12-02T15:49:00Z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