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58AC7" w14:textId="77777777" w:rsidR="006B2EF2" w:rsidRPr="00BA12E1" w:rsidRDefault="006B2EF2" w:rsidP="006B2EF2">
      <w:pPr>
        <w:rPr>
          <w:rFonts w:ascii="Tahoma" w:hAnsi="Tahoma" w:cs="Tahoma"/>
          <w:sz w:val="20"/>
          <w:szCs w:val="22"/>
        </w:rPr>
      </w:pPr>
      <w:r>
        <w:rPr>
          <w:rFonts w:ascii="Tahoma" w:hAnsi="Tahoma" w:cs="Tahoma"/>
          <w:b/>
          <w:bCs/>
          <w:sz w:val="24"/>
          <w:szCs w:val="28"/>
        </w:rPr>
        <w:t xml:space="preserve">Spring </w:t>
      </w:r>
      <w:proofErr w:type="gramStart"/>
      <w:r>
        <w:rPr>
          <w:rFonts w:ascii="Tahoma" w:hAnsi="Tahoma" w:cs="Tahoma"/>
          <w:b/>
          <w:bCs/>
          <w:sz w:val="24"/>
          <w:szCs w:val="28"/>
        </w:rPr>
        <w:t>clean</w:t>
      </w:r>
      <w:proofErr w:type="gramEnd"/>
      <w:r>
        <w:rPr>
          <w:rFonts w:ascii="Tahoma" w:hAnsi="Tahoma" w:cs="Tahoma"/>
          <w:b/>
          <w:bCs/>
          <w:sz w:val="24"/>
          <w:szCs w:val="28"/>
        </w:rPr>
        <w:t xml:space="preserve"> your health</w:t>
      </w:r>
      <w:r>
        <w:rPr>
          <w:rFonts w:ascii="Tahoma" w:hAnsi="Tahoma" w:cs="Tahoma"/>
          <w:sz w:val="20"/>
          <w:szCs w:val="22"/>
        </w:rPr>
        <w:br/>
      </w:r>
      <w:r>
        <w:rPr>
          <w:rFonts w:ascii="Tahoma" w:hAnsi="Tahoma" w:cs="Tahoma"/>
          <w:sz w:val="20"/>
          <w:szCs w:val="22"/>
        </w:rPr>
        <w:br/>
      </w:r>
      <w:r>
        <w:rPr>
          <w:rFonts w:ascii="Tahoma" w:hAnsi="Tahoma" w:cs="Tahoma"/>
          <w:sz w:val="20"/>
          <w:szCs w:val="22"/>
        </w:rPr>
        <w:br/>
        <w:t>Winter means cold, snowy conditions and a desire to stay in. It’s fine to be cozy, but there might be an unintended consequence: you put off or cancel doctor’s appointments.</w:t>
      </w:r>
      <w:r>
        <w:rPr>
          <w:rFonts w:ascii="Tahoma" w:hAnsi="Tahoma" w:cs="Tahoma"/>
          <w:sz w:val="20"/>
          <w:szCs w:val="22"/>
        </w:rPr>
        <w:br/>
      </w:r>
      <w:r>
        <w:rPr>
          <w:rFonts w:ascii="Tahoma" w:hAnsi="Tahoma" w:cs="Tahoma"/>
          <w:sz w:val="20"/>
          <w:szCs w:val="22"/>
        </w:rPr>
        <w:br/>
        <w:t>Now that spring and warmer temperatures have arrived, it’s the perfect time to take stock of your health. What screenings have I missed? What habits can I start at home?</w:t>
      </w:r>
      <w:r>
        <w:rPr>
          <w:rFonts w:ascii="Tahoma" w:hAnsi="Tahoma" w:cs="Tahoma"/>
          <w:sz w:val="20"/>
          <w:szCs w:val="22"/>
        </w:rPr>
        <w:br/>
      </w:r>
      <w:r>
        <w:rPr>
          <w:rFonts w:ascii="Tahoma" w:hAnsi="Tahoma" w:cs="Tahoma"/>
          <w:sz w:val="20"/>
          <w:szCs w:val="22"/>
        </w:rPr>
        <w:br/>
        <w:t xml:space="preserve">“Whenever we have lags where people are canceling or not following up on visits, we start seeing increased cancers or other things we’re finding. Screenings were delayed. Things were not caught early enough,” says </w:t>
      </w:r>
      <w:hyperlink r:id="rId8" w:history="1">
        <w:r w:rsidRPr="00D05562">
          <w:rPr>
            <w:rStyle w:val="Hyperlink"/>
            <w:rFonts w:ascii="Tahoma" w:hAnsi="Tahoma" w:cs="Tahoma"/>
            <w:sz w:val="20"/>
            <w:szCs w:val="22"/>
          </w:rPr>
          <w:t>Bethany Huelskoetter</w:t>
        </w:r>
      </w:hyperlink>
      <w:r>
        <w:rPr>
          <w:rFonts w:ascii="Tahoma" w:hAnsi="Tahoma" w:cs="Tahoma"/>
          <w:sz w:val="20"/>
          <w:szCs w:val="22"/>
        </w:rPr>
        <w:t>, APRN, a family medicine provider at OSF HealthCare. “Let’s say a colonoscopy was canceled because it was too cold outside. It falls through the cracks. Two years pass by, and you realize you never got that colonoscopy. You finally get it, and there’s a tumor.”</w:t>
      </w:r>
      <w:r>
        <w:rPr>
          <w:rFonts w:ascii="Tahoma" w:hAnsi="Tahoma" w:cs="Tahoma"/>
          <w:sz w:val="20"/>
          <w:szCs w:val="22"/>
        </w:rPr>
        <w:br/>
      </w:r>
      <w:r>
        <w:rPr>
          <w:rFonts w:ascii="Tahoma" w:hAnsi="Tahoma" w:cs="Tahoma"/>
          <w:sz w:val="20"/>
          <w:szCs w:val="22"/>
        </w:rPr>
        <w:br/>
      </w:r>
      <w:r w:rsidRPr="00FA51DA">
        <w:rPr>
          <w:rFonts w:ascii="Tahoma" w:hAnsi="Tahoma" w:cs="Tahoma"/>
          <w:b/>
          <w:bCs/>
          <w:sz w:val="20"/>
          <w:szCs w:val="22"/>
        </w:rPr>
        <w:t>A screening cheat sheet</w:t>
      </w:r>
      <w:r>
        <w:rPr>
          <w:rFonts w:ascii="Tahoma" w:hAnsi="Tahoma" w:cs="Tahoma"/>
          <w:sz w:val="20"/>
          <w:szCs w:val="22"/>
        </w:rPr>
        <w:br/>
      </w:r>
      <w:r>
        <w:rPr>
          <w:rFonts w:ascii="Tahoma" w:hAnsi="Tahoma" w:cs="Tahoma"/>
          <w:sz w:val="20"/>
          <w:szCs w:val="22"/>
        </w:rPr>
        <w:br/>
        <w:t>Huelskoetter outlines some screenings to talk with your primary care provider about, noting that things could look different for you based on your health and family history.</w:t>
      </w:r>
      <w:r>
        <w:rPr>
          <w:rFonts w:ascii="Tahoma" w:hAnsi="Tahoma" w:cs="Tahoma"/>
          <w:sz w:val="20"/>
          <w:szCs w:val="22"/>
        </w:rPr>
        <w:br/>
      </w:r>
      <w:r>
        <w:rPr>
          <w:rFonts w:ascii="Tahoma" w:hAnsi="Tahoma" w:cs="Tahoma"/>
          <w:sz w:val="20"/>
          <w:szCs w:val="22"/>
        </w:rPr>
        <w:br/>
      </w:r>
    </w:p>
    <w:tbl>
      <w:tblPr>
        <w:tblStyle w:val="TableGrid"/>
        <w:tblW w:w="0" w:type="auto"/>
        <w:jc w:val="center"/>
        <w:tblLook w:val="04A0" w:firstRow="1" w:lastRow="0" w:firstColumn="1" w:lastColumn="0" w:noHBand="0" w:noVBand="1"/>
      </w:tblPr>
      <w:tblGrid>
        <w:gridCol w:w="3596"/>
        <w:gridCol w:w="3597"/>
        <w:gridCol w:w="3597"/>
      </w:tblGrid>
      <w:tr w:rsidR="006B2EF2" w14:paraId="4D8D8695" w14:textId="77777777" w:rsidTr="00204DA0">
        <w:trPr>
          <w:jc w:val="center"/>
        </w:trPr>
        <w:tc>
          <w:tcPr>
            <w:tcW w:w="3596" w:type="dxa"/>
            <w:vAlign w:val="center"/>
          </w:tcPr>
          <w:p w14:paraId="42A9F7B8" w14:textId="77777777" w:rsidR="006B2EF2" w:rsidRPr="00621305" w:rsidRDefault="006B2EF2" w:rsidP="00204DA0">
            <w:pPr>
              <w:jc w:val="center"/>
              <w:rPr>
                <w:rFonts w:ascii="Tahoma" w:hAnsi="Tahoma" w:cs="Tahoma"/>
                <w:b/>
                <w:bCs/>
                <w:sz w:val="20"/>
                <w:szCs w:val="22"/>
              </w:rPr>
            </w:pPr>
            <w:r w:rsidRPr="00621305">
              <w:rPr>
                <w:rFonts w:ascii="Tahoma" w:hAnsi="Tahoma" w:cs="Tahoma"/>
                <w:b/>
                <w:bCs/>
                <w:sz w:val="20"/>
                <w:szCs w:val="22"/>
              </w:rPr>
              <w:t>Screening</w:t>
            </w:r>
          </w:p>
        </w:tc>
        <w:tc>
          <w:tcPr>
            <w:tcW w:w="3597" w:type="dxa"/>
            <w:vAlign w:val="center"/>
          </w:tcPr>
          <w:p w14:paraId="0D911867" w14:textId="77777777" w:rsidR="006B2EF2" w:rsidRPr="00621305" w:rsidRDefault="006B2EF2" w:rsidP="00204DA0">
            <w:pPr>
              <w:jc w:val="center"/>
              <w:rPr>
                <w:rFonts w:ascii="Tahoma" w:hAnsi="Tahoma" w:cs="Tahoma"/>
                <w:b/>
                <w:bCs/>
                <w:sz w:val="20"/>
                <w:szCs w:val="22"/>
              </w:rPr>
            </w:pPr>
            <w:r w:rsidRPr="00621305">
              <w:rPr>
                <w:rFonts w:ascii="Tahoma" w:hAnsi="Tahoma" w:cs="Tahoma"/>
                <w:b/>
                <w:bCs/>
                <w:sz w:val="20"/>
                <w:szCs w:val="22"/>
              </w:rPr>
              <w:t>Average risk age</w:t>
            </w:r>
          </w:p>
        </w:tc>
        <w:tc>
          <w:tcPr>
            <w:tcW w:w="3597" w:type="dxa"/>
            <w:vAlign w:val="center"/>
          </w:tcPr>
          <w:p w14:paraId="1261D0A2" w14:textId="77777777" w:rsidR="006B2EF2" w:rsidRPr="00621305" w:rsidRDefault="006B2EF2" w:rsidP="00204DA0">
            <w:pPr>
              <w:jc w:val="center"/>
              <w:rPr>
                <w:rFonts w:ascii="Tahoma" w:hAnsi="Tahoma" w:cs="Tahoma"/>
                <w:b/>
                <w:bCs/>
                <w:sz w:val="20"/>
                <w:szCs w:val="22"/>
              </w:rPr>
            </w:pPr>
            <w:r w:rsidRPr="00621305">
              <w:rPr>
                <w:rFonts w:ascii="Tahoma" w:hAnsi="Tahoma" w:cs="Tahoma"/>
                <w:b/>
                <w:bCs/>
                <w:sz w:val="20"/>
                <w:szCs w:val="22"/>
              </w:rPr>
              <w:t>Frequency</w:t>
            </w:r>
          </w:p>
        </w:tc>
      </w:tr>
      <w:tr w:rsidR="006B2EF2" w14:paraId="6C9FF8D3" w14:textId="77777777" w:rsidTr="00204DA0">
        <w:trPr>
          <w:jc w:val="center"/>
        </w:trPr>
        <w:tc>
          <w:tcPr>
            <w:tcW w:w="3596" w:type="dxa"/>
            <w:vAlign w:val="center"/>
          </w:tcPr>
          <w:p w14:paraId="4970D0A7" w14:textId="77777777" w:rsidR="006B2EF2" w:rsidRDefault="006B2EF2" w:rsidP="00204DA0">
            <w:pPr>
              <w:jc w:val="center"/>
              <w:rPr>
                <w:rFonts w:ascii="Tahoma" w:hAnsi="Tahoma" w:cs="Tahoma"/>
                <w:sz w:val="20"/>
                <w:szCs w:val="22"/>
              </w:rPr>
            </w:pPr>
            <w:r>
              <w:rPr>
                <w:rFonts w:ascii="Tahoma" w:hAnsi="Tahoma" w:cs="Tahoma"/>
                <w:sz w:val="20"/>
                <w:szCs w:val="22"/>
              </w:rPr>
              <w:t>Lung cancer</w:t>
            </w:r>
          </w:p>
        </w:tc>
        <w:tc>
          <w:tcPr>
            <w:tcW w:w="3597" w:type="dxa"/>
            <w:vAlign w:val="center"/>
          </w:tcPr>
          <w:p w14:paraId="08017E4C" w14:textId="77777777" w:rsidR="006B2EF2" w:rsidRDefault="006B2EF2" w:rsidP="00204DA0">
            <w:pPr>
              <w:jc w:val="center"/>
              <w:rPr>
                <w:rFonts w:ascii="Tahoma" w:hAnsi="Tahoma" w:cs="Tahoma"/>
                <w:sz w:val="20"/>
                <w:szCs w:val="22"/>
              </w:rPr>
            </w:pPr>
            <w:r>
              <w:rPr>
                <w:rFonts w:ascii="Tahoma" w:hAnsi="Tahoma" w:cs="Tahoma"/>
                <w:sz w:val="20"/>
                <w:szCs w:val="22"/>
              </w:rPr>
              <w:t>50 years</w:t>
            </w:r>
          </w:p>
        </w:tc>
        <w:tc>
          <w:tcPr>
            <w:tcW w:w="3597" w:type="dxa"/>
            <w:vAlign w:val="center"/>
          </w:tcPr>
          <w:p w14:paraId="3C56E51A" w14:textId="77777777" w:rsidR="006B2EF2" w:rsidRDefault="006B2EF2" w:rsidP="00204DA0">
            <w:pPr>
              <w:jc w:val="center"/>
              <w:rPr>
                <w:rFonts w:ascii="Tahoma" w:hAnsi="Tahoma" w:cs="Tahoma"/>
                <w:sz w:val="20"/>
                <w:szCs w:val="22"/>
              </w:rPr>
            </w:pPr>
            <w:r>
              <w:rPr>
                <w:rFonts w:ascii="Tahoma" w:hAnsi="Tahoma" w:cs="Tahoma"/>
                <w:sz w:val="20"/>
                <w:szCs w:val="22"/>
              </w:rPr>
              <w:t>Every year</w:t>
            </w:r>
          </w:p>
        </w:tc>
      </w:tr>
      <w:tr w:rsidR="006B2EF2" w14:paraId="21D4C15E" w14:textId="77777777" w:rsidTr="00204DA0">
        <w:trPr>
          <w:jc w:val="center"/>
        </w:trPr>
        <w:tc>
          <w:tcPr>
            <w:tcW w:w="3596" w:type="dxa"/>
            <w:vAlign w:val="center"/>
          </w:tcPr>
          <w:p w14:paraId="5019A373" w14:textId="77777777" w:rsidR="006B2EF2" w:rsidRDefault="006B2EF2" w:rsidP="00204DA0">
            <w:pPr>
              <w:jc w:val="center"/>
              <w:rPr>
                <w:rFonts w:ascii="Tahoma" w:hAnsi="Tahoma" w:cs="Tahoma"/>
                <w:sz w:val="20"/>
                <w:szCs w:val="22"/>
              </w:rPr>
            </w:pPr>
            <w:r>
              <w:rPr>
                <w:rFonts w:ascii="Tahoma" w:hAnsi="Tahoma" w:cs="Tahoma"/>
                <w:sz w:val="20"/>
                <w:szCs w:val="22"/>
              </w:rPr>
              <w:t>Lipid screening</w:t>
            </w:r>
          </w:p>
        </w:tc>
        <w:tc>
          <w:tcPr>
            <w:tcW w:w="3597" w:type="dxa"/>
            <w:vAlign w:val="center"/>
          </w:tcPr>
          <w:p w14:paraId="02A042BB" w14:textId="77777777" w:rsidR="006B2EF2" w:rsidRDefault="006B2EF2" w:rsidP="00204DA0">
            <w:pPr>
              <w:jc w:val="center"/>
              <w:rPr>
                <w:rFonts w:ascii="Tahoma" w:hAnsi="Tahoma" w:cs="Tahoma"/>
                <w:sz w:val="20"/>
                <w:szCs w:val="22"/>
              </w:rPr>
            </w:pPr>
            <w:r>
              <w:rPr>
                <w:rFonts w:ascii="Tahoma" w:hAnsi="Tahoma" w:cs="Tahoma"/>
                <w:sz w:val="20"/>
                <w:szCs w:val="22"/>
              </w:rPr>
              <w:t>19 years</w:t>
            </w:r>
          </w:p>
        </w:tc>
        <w:tc>
          <w:tcPr>
            <w:tcW w:w="3597" w:type="dxa"/>
            <w:vAlign w:val="center"/>
          </w:tcPr>
          <w:p w14:paraId="592CAC24" w14:textId="77777777" w:rsidR="006B2EF2" w:rsidRDefault="006B2EF2" w:rsidP="00204DA0">
            <w:pPr>
              <w:jc w:val="center"/>
              <w:rPr>
                <w:rFonts w:ascii="Tahoma" w:hAnsi="Tahoma" w:cs="Tahoma"/>
                <w:sz w:val="20"/>
                <w:szCs w:val="22"/>
              </w:rPr>
            </w:pPr>
            <w:r>
              <w:rPr>
                <w:rFonts w:ascii="Tahoma" w:hAnsi="Tahoma" w:cs="Tahoma"/>
                <w:sz w:val="20"/>
                <w:szCs w:val="22"/>
              </w:rPr>
              <w:t>Every 5 years</w:t>
            </w:r>
          </w:p>
        </w:tc>
      </w:tr>
      <w:tr w:rsidR="006B2EF2" w14:paraId="5FA7BD47" w14:textId="77777777" w:rsidTr="00204DA0">
        <w:trPr>
          <w:jc w:val="center"/>
        </w:trPr>
        <w:tc>
          <w:tcPr>
            <w:tcW w:w="3596" w:type="dxa"/>
            <w:vAlign w:val="center"/>
          </w:tcPr>
          <w:p w14:paraId="7A0AE6EC" w14:textId="77777777" w:rsidR="006B2EF2" w:rsidRDefault="006B2EF2" w:rsidP="00204DA0">
            <w:pPr>
              <w:jc w:val="center"/>
              <w:rPr>
                <w:rFonts w:ascii="Tahoma" w:hAnsi="Tahoma" w:cs="Tahoma"/>
                <w:sz w:val="20"/>
                <w:szCs w:val="22"/>
              </w:rPr>
            </w:pPr>
            <w:r>
              <w:rPr>
                <w:rFonts w:ascii="Tahoma" w:hAnsi="Tahoma" w:cs="Tahoma"/>
                <w:sz w:val="20"/>
                <w:szCs w:val="22"/>
              </w:rPr>
              <w:t>Blood pressure</w:t>
            </w:r>
          </w:p>
        </w:tc>
        <w:tc>
          <w:tcPr>
            <w:tcW w:w="3597" w:type="dxa"/>
            <w:vAlign w:val="center"/>
          </w:tcPr>
          <w:p w14:paraId="0F49D948" w14:textId="77777777" w:rsidR="006B2EF2" w:rsidRDefault="006B2EF2" w:rsidP="00204DA0">
            <w:pPr>
              <w:jc w:val="center"/>
              <w:rPr>
                <w:rFonts w:ascii="Tahoma" w:hAnsi="Tahoma" w:cs="Tahoma"/>
                <w:sz w:val="20"/>
                <w:szCs w:val="22"/>
              </w:rPr>
            </w:pPr>
            <w:r>
              <w:rPr>
                <w:rFonts w:ascii="Tahoma" w:hAnsi="Tahoma" w:cs="Tahoma"/>
                <w:sz w:val="20"/>
                <w:szCs w:val="22"/>
              </w:rPr>
              <w:t>18 years</w:t>
            </w:r>
          </w:p>
        </w:tc>
        <w:tc>
          <w:tcPr>
            <w:tcW w:w="3597" w:type="dxa"/>
            <w:vAlign w:val="center"/>
          </w:tcPr>
          <w:p w14:paraId="1F216837" w14:textId="77777777" w:rsidR="006B2EF2" w:rsidRDefault="006B2EF2" w:rsidP="00204DA0">
            <w:pPr>
              <w:jc w:val="center"/>
              <w:rPr>
                <w:rFonts w:ascii="Tahoma" w:hAnsi="Tahoma" w:cs="Tahoma"/>
                <w:sz w:val="20"/>
                <w:szCs w:val="22"/>
              </w:rPr>
            </w:pPr>
            <w:r>
              <w:rPr>
                <w:rFonts w:ascii="Tahoma" w:hAnsi="Tahoma" w:cs="Tahoma"/>
                <w:sz w:val="20"/>
                <w:szCs w:val="22"/>
              </w:rPr>
              <w:t>Every 3-5 years from age 18-39, every year age 40 and up</w:t>
            </w:r>
          </w:p>
        </w:tc>
      </w:tr>
      <w:tr w:rsidR="006B2EF2" w14:paraId="670BB209" w14:textId="77777777" w:rsidTr="00204DA0">
        <w:trPr>
          <w:jc w:val="center"/>
        </w:trPr>
        <w:tc>
          <w:tcPr>
            <w:tcW w:w="3596" w:type="dxa"/>
            <w:vAlign w:val="center"/>
          </w:tcPr>
          <w:p w14:paraId="41152895" w14:textId="77777777" w:rsidR="006B2EF2" w:rsidRDefault="006B2EF2" w:rsidP="00204DA0">
            <w:pPr>
              <w:jc w:val="center"/>
              <w:rPr>
                <w:rFonts w:ascii="Tahoma" w:hAnsi="Tahoma" w:cs="Tahoma"/>
                <w:sz w:val="20"/>
                <w:szCs w:val="22"/>
              </w:rPr>
            </w:pPr>
            <w:r>
              <w:rPr>
                <w:rFonts w:ascii="Tahoma" w:hAnsi="Tahoma" w:cs="Tahoma"/>
                <w:sz w:val="20"/>
                <w:szCs w:val="22"/>
              </w:rPr>
              <w:t>Diabetes/Prediabetes</w:t>
            </w:r>
          </w:p>
        </w:tc>
        <w:tc>
          <w:tcPr>
            <w:tcW w:w="3597" w:type="dxa"/>
            <w:vAlign w:val="center"/>
          </w:tcPr>
          <w:p w14:paraId="63C2A329" w14:textId="77777777" w:rsidR="006B2EF2" w:rsidRDefault="006B2EF2" w:rsidP="00204DA0">
            <w:pPr>
              <w:jc w:val="center"/>
              <w:rPr>
                <w:rFonts w:ascii="Tahoma" w:hAnsi="Tahoma" w:cs="Tahoma"/>
                <w:sz w:val="20"/>
                <w:szCs w:val="22"/>
              </w:rPr>
            </w:pPr>
            <w:r>
              <w:rPr>
                <w:rFonts w:ascii="Tahoma" w:hAnsi="Tahoma" w:cs="Tahoma"/>
                <w:sz w:val="20"/>
                <w:szCs w:val="22"/>
              </w:rPr>
              <w:t>35 years</w:t>
            </w:r>
          </w:p>
        </w:tc>
        <w:tc>
          <w:tcPr>
            <w:tcW w:w="3597" w:type="dxa"/>
            <w:vAlign w:val="center"/>
          </w:tcPr>
          <w:p w14:paraId="3CFA3D3A" w14:textId="77777777" w:rsidR="006B2EF2" w:rsidRDefault="006B2EF2" w:rsidP="00204DA0">
            <w:pPr>
              <w:jc w:val="center"/>
              <w:rPr>
                <w:rFonts w:ascii="Tahoma" w:hAnsi="Tahoma" w:cs="Tahoma"/>
                <w:sz w:val="20"/>
                <w:szCs w:val="22"/>
              </w:rPr>
            </w:pPr>
            <w:r>
              <w:rPr>
                <w:rFonts w:ascii="Tahoma" w:hAnsi="Tahoma" w:cs="Tahoma"/>
                <w:sz w:val="20"/>
                <w:szCs w:val="22"/>
              </w:rPr>
              <w:t>Every three years</w:t>
            </w:r>
          </w:p>
        </w:tc>
      </w:tr>
      <w:tr w:rsidR="006B2EF2" w14:paraId="1A2FE6B3" w14:textId="77777777" w:rsidTr="00204DA0">
        <w:trPr>
          <w:jc w:val="center"/>
        </w:trPr>
        <w:tc>
          <w:tcPr>
            <w:tcW w:w="3596" w:type="dxa"/>
            <w:vAlign w:val="center"/>
          </w:tcPr>
          <w:p w14:paraId="46B9E68D" w14:textId="77777777" w:rsidR="006B2EF2" w:rsidRDefault="006B2EF2" w:rsidP="00204DA0">
            <w:pPr>
              <w:jc w:val="center"/>
              <w:rPr>
                <w:rFonts w:ascii="Tahoma" w:hAnsi="Tahoma" w:cs="Tahoma"/>
                <w:sz w:val="20"/>
                <w:szCs w:val="22"/>
              </w:rPr>
            </w:pPr>
            <w:r>
              <w:rPr>
                <w:rFonts w:ascii="Tahoma" w:hAnsi="Tahoma" w:cs="Tahoma"/>
                <w:sz w:val="20"/>
                <w:szCs w:val="22"/>
              </w:rPr>
              <w:t>Osteoporosis</w:t>
            </w:r>
          </w:p>
        </w:tc>
        <w:tc>
          <w:tcPr>
            <w:tcW w:w="3597" w:type="dxa"/>
            <w:vAlign w:val="center"/>
          </w:tcPr>
          <w:p w14:paraId="64CE7C8C" w14:textId="77777777" w:rsidR="006B2EF2" w:rsidRDefault="006B2EF2" w:rsidP="00204DA0">
            <w:pPr>
              <w:jc w:val="center"/>
              <w:rPr>
                <w:rFonts w:ascii="Tahoma" w:hAnsi="Tahoma" w:cs="Tahoma"/>
                <w:sz w:val="20"/>
                <w:szCs w:val="22"/>
              </w:rPr>
            </w:pPr>
            <w:r>
              <w:rPr>
                <w:rFonts w:ascii="Tahoma" w:hAnsi="Tahoma" w:cs="Tahoma"/>
                <w:sz w:val="20"/>
                <w:szCs w:val="22"/>
              </w:rPr>
              <w:t>Women: 65 years // Men: 70 years</w:t>
            </w:r>
          </w:p>
        </w:tc>
        <w:tc>
          <w:tcPr>
            <w:tcW w:w="3597" w:type="dxa"/>
            <w:vAlign w:val="center"/>
          </w:tcPr>
          <w:p w14:paraId="608CF215" w14:textId="77777777" w:rsidR="006B2EF2" w:rsidRDefault="006B2EF2" w:rsidP="00204DA0">
            <w:pPr>
              <w:jc w:val="center"/>
              <w:rPr>
                <w:rFonts w:ascii="Tahoma" w:hAnsi="Tahoma" w:cs="Tahoma"/>
                <w:sz w:val="20"/>
                <w:szCs w:val="22"/>
              </w:rPr>
            </w:pPr>
            <w:r>
              <w:rPr>
                <w:rFonts w:ascii="Tahoma" w:hAnsi="Tahoma" w:cs="Tahoma"/>
                <w:sz w:val="20"/>
                <w:szCs w:val="22"/>
              </w:rPr>
              <w:t>Not routinely repeated if normal</w:t>
            </w:r>
          </w:p>
        </w:tc>
      </w:tr>
      <w:tr w:rsidR="006B2EF2" w14:paraId="7E221103" w14:textId="77777777" w:rsidTr="00204DA0">
        <w:trPr>
          <w:jc w:val="center"/>
        </w:trPr>
        <w:tc>
          <w:tcPr>
            <w:tcW w:w="3596" w:type="dxa"/>
            <w:vAlign w:val="center"/>
          </w:tcPr>
          <w:p w14:paraId="3AB2170D" w14:textId="77777777" w:rsidR="006B2EF2" w:rsidRDefault="006B2EF2" w:rsidP="00204DA0">
            <w:pPr>
              <w:jc w:val="center"/>
              <w:rPr>
                <w:rFonts w:ascii="Tahoma" w:hAnsi="Tahoma" w:cs="Tahoma"/>
                <w:sz w:val="20"/>
                <w:szCs w:val="22"/>
              </w:rPr>
            </w:pPr>
            <w:r>
              <w:rPr>
                <w:rFonts w:ascii="Tahoma" w:hAnsi="Tahoma" w:cs="Tahoma"/>
                <w:sz w:val="20"/>
                <w:szCs w:val="22"/>
              </w:rPr>
              <w:t>Colorectal cancer</w:t>
            </w:r>
          </w:p>
        </w:tc>
        <w:tc>
          <w:tcPr>
            <w:tcW w:w="3597" w:type="dxa"/>
            <w:vAlign w:val="center"/>
          </w:tcPr>
          <w:p w14:paraId="5D2B2623" w14:textId="77777777" w:rsidR="006B2EF2" w:rsidRDefault="006B2EF2" w:rsidP="00204DA0">
            <w:pPr>
              <w:jc w:val="center"/>
              <w:rPr>
                <w:rFonts w:ascii="Tahoma" w:hAnsi="Tahoma" w:cs="Tahoma"/>
                <w:sz w:val="20"/>
                <w:szCs w:val="22"/>
              </w:rPr>
            </w:pPr>
            <w:r>
              <w:rPr>
                <w:rFonts w:ascii="Tahoma" w:hAnsi="Tahoma" w:cs="Tahoma"/>
                <w:sz w:val="20"/>
                <w:szCs w:val="22"/>
              </w:rPr>
              <w:t>45 years</w:t>
            </w:r>
          </w:p>
        </w:tc>
        <w:tc>
          <w:tcPr>
            <w:tcW w:w="3597" w:type="dxa"/>
            <w:vAlign w:val="center"/>
          </w:tcPr>
          <w:p w14:paraId="5B62F371" w14:textId="77777777" w:rsidR="006B2EF2" w:rsidRDefault="006B2EF2" w:rsidP="00204DA0">
            <w:pPr>
              <w:jc w:val="center"/>
              <w:rPr>
                <w:rFonts w:ascii="Tahoma" w:hAnsi="Tahoma" w:cs="Tahoma"/>
                <w:sz w:val="20"/>
                <w:szCs w:val="22"/>
              </w:rPr>
            </w:pPr>
            <w:r>
              <w:rPr>
                <w:rFonts w:ascii="Tahoma" w:hAnsi="Tahoma" w:cs="Tahoma"/>
                <w:sz w:val="20"/>
                <w:szCs w:val="22"/>
              </w:rPr>
              <w:t>Every 10 years</w:t>
            </w:r>
          </w:p>
        </w:tc>
      </w:tr>
      <w:tr w:rsidR="006B2EF2" w14:paraId="6EBDEC22" w14:textId="77777777" w:rsidTr="00204DA0">
        <w:trPr>
          <w:jc w:val="center"/>
        </w:trPr>
        <w:tc>
          <w:tcPr>
            <w:tcW w:w="3596" w:type="dxa"/>
            <w:vAlign w:val="center"/>
          </w:tcPr>
          <w:p w14:paraId="7BF38D8F" w14:textId="77777777" w:rsidR="006B2EF2" w:rsidRDefault="006B2EF2" w:rsidP="00204DA0">
            <w:pPr>
              <w:jc w:val="center"/>
              <w:rPr>
                <w:rFonts w:ascii="Tahoma" w:hAnsi="Tahoma" w:cs="Tahoma"/>
                <w:sz w:val="20"/>
                <w:szCs w:val="22"/>
              </w:rPr>
            </w:pPr>
            <w:r>
              <w:rPr>
                <w:rFonts w:ascii="Tahoma" w:hAnsi="Tahoma" w:cs="Tahoma"/>
                <w:sz w:val="20"/>
                <w:szCs w:val="22"/>
              </w:rPr>
              <w:t>Breast cancer (women)</w:t>
            </w:r>
          </w:p>
        </w:tc>
        <w:tc>
          <w:tcPr>
            <w:tcW w:w="3597" w:type="dxa"/>
            <w:vAlign w:val="center"/>
          </w:tcPr>
          <w:p w14:paraId="498A8F53" w14:textId="77777777" w:rsidR="006B2EF2" w:rsidRDefault="006B2EF2" w:rsidP="00204DA0">
            <w:pPr>
              <w:jc w:val="center"/>
              <w:rPr>
                <w:rFonts w:ascii="Tahoma" w:hAnsi="Tahoma" w:cs="Tahoma"/>
                <w:sz w:val="20"/>
                <w:szCs w:val="22"/>
              </w:rPr>
            </w:pPr>
            <w:r>
              <w:rPr>
                <w:rFonts w:ascii="Tahoma" w:hAnsi="Tahoma" w:cs="Tahoma"/>
                <w:sz w:val="20"/>
                <w:szCs w:val="22"/>
              </w:rPr>
              <w:t>40 years</w:t>
            </w:r>
          </w:p>
        </w:tc>
        <w:tc>
          <w:tcPr>
            <w:tcW w:w="3597" w:type="dxa"/>
            <w:vAlign w:val="center"/>
          </w:tcPr>
          <w:p w14:paraId="63A93E0A" w14:textId="77777777" w:rsidR="006B2EF2" w:rsidRDefault="006B2EF2" w:rsidP="00204DA0">
            <w:pPr>
              <w:jc w:val="center"/>
              <w:rPr>
                <w:rFonts w:ascii="Tahoma" w:hAnsi="Tahoma" w:cs="Tahoma"/>
                <w:sz w:val="20"/>
                <w:szCs w:val="22"/>
              </w:rPr>
            </w:pPr>
            <w:r>
              <w:rPr>
                <w:rFonts w:ascii="Tahoma" w:hAnsi="Tahoma" w:cs="Tahoma"/>
                <w:sz w:val="20"/>
                <w:szCs w:val="22"/>
              </w:rPr>
              <w:t>Every year</w:t>
            </w:r>
          </w:p>
        </w:tc>
      </w:tr>
      <w:tr w:rsidR="006B2EF2" w14:paraId="405606BC" w14:textId="77777777" w:rsidTr="00204DA0">
        <w:trPr>
          <w:jc w:val="center"/>
        </w:trPr>
        <w:tc>
          <w:tcPr>
            <w:tcW w:w="3596" w:type="dxa"/>
            <w:vAlign w:val="center"/>
          </w:tcPr>
          <w:p w14:paraId="0718C0C7" w14:textId="77777777" w:rsidR="006B2EF2" w:rsidRDefault="006B2EF2" w:rsidP="00204DA0">
            <w:pPr>
              <w:jc w:val="center"/>
              <w:rPr>
                <w:rFonts w:ascii="Tahoma" w:hAnsi="Tahoma" w:cs="Tahoma"/>
                <w:sz w:val="20"/>
                <w:szCs w:val="22"/>
              </w:rPr>
            </w:pPr>
            <w:r>
              <w:rPr>
                <w:rFonts w:ascii="Tahoma" w:hAnsi="Tahoma" w:cs="Tahoma"/>
                <w:sz w:val="20"/>
                <w:szCs w:val="22"/>
              </w:rPr>
              <w:t>Cervical cancer</w:t>
            </w:r>
          </w:p>
        </w:tc>
        <w:tc>
          <w:tcPr>
            <w:tcW w:w="3597" w:type="dxa"/>
            <w:vAlign w:val="center"/>
          </w:tcPr>
          <w:p w14:paraId="5BA83F79" w14:textId="77777777" w:rsidR="006B2EF2" w:rsidRDefault="006B2EF2" w:rsidP="00204DA0">
            <w:pPr>
              <w:jc w:val="center"/>
              <w:rPr>
                <w:rFonts w:ascii="Tahoma" w:hAnsi="Tahoma" w:cs="Tahoma"/>
                <w:sz w:val="20"/>
                <w:szCs w:val="22"/>
              </w:rPr>
            </w:pPr>
            <w:r>
              <w:rPr>
                <w:rFonts w:ascii="Tahoma" w:hAnsi="Tahoma" w:cs="Tahoma"/>
                <w:sz w:val="20"/>
                <w:szCs w:val="22"/>
              </w:rPr>
              <w:t>21-25 years</w:t>
            </w:r>
          </w:p>
        </w:tc>
        <w:tc>
          <w:tcPr>
            <w:tcW w:w="3597" w:type="dxa"/>
            <w:vAlign w:val="center"/>
          </w:tcPr>
          <w:p w14:paraId="6097F31A" w14:textId="77777777" w:rsidR="006B2EF2" w:rsidRDefault="006B2EF2" w:rsidP="00204DA0">
            <w:pPr>
              <w:jc w:val="center"/>
              <w:rPr>
                <w:rFonts w:ascii="Tahoma" w:hAnsi="Tahoma" w:cs="Tahoma"/>
                <w:sz w:val="20"/>
                <w:szCs w:val="22"/>
              </w:rPr>
            </w:pPr>
            <w:r>
              <w:rPr>
                <w:rFonts w:ascii="Tahoma" w:hAnsi="Tahoma" w:cs="Tahoma"/>
                <w:sz w:val="20"/>
                <w:szCs w:val="22"/>
              </w:rPr>
              <w:t>Every 3-5 years</w:t>
            </w:r>
          </w:p>
        </w:tc>
      </w:tr>
      <w:tr w:rsidR="006B2EF2" w14:paraId="307BDB83" w14:textId="77777777" w:rsidTr="00204DA0">
        <w:trPr>
          <w:jc w:val="center"/>
        </w:trPr>
        <w:tc>
          <w:tcPr>
            <w:tcW w:w="3596" w:type="dxa"/>
            <w:vAlign w:val="center"/>
          </w:tcPr>
          <w:p w14:paraId="3F4D2F6A" w14:textId="77777777" w:rsidR="006B2EF2" w:rsidRDefault="006B2EF2" w:rsidP="00204DA0">
            <w:pPr>
              <w:jc w:val="center"/>
              <w:rPr>
                <w:rFonts w:ascii="Tahoma" w:hAnsi="Tahoma" w:cs="Tahoma"/>
                <w:sz w:val="20"/>
                <w:szCs w:val="22"/>
              </w:rPr>
            </w:pPr>
            <w:r>
              <w:rPr>
                <w:rFonts w:ascii="Tahoma" w:hAnsi="Tahoma" w:cs="Tahoma"/>
                <w:sz w:val="20"/>
                <w:szCs w:val="22"/>
              </w:rPr>
              <w:t>Prostate cancer</w:t>
            </w:r>
          </w:p>
        </w:tc>
        <w:tc>
          <w:tcPr>
            <w:tcW w:w="3597" w:type="dxa"/>
            <w:vAlign w:val="center"/>
          </w:tcPr>
          <w:p w14:paraId="0F20DC8A" w14:textId="77777777" w:rsidR="006B2EF2" w:rsidRDefault="006B2EF2" w:rsidP="00204DA0">
            <w:pPr>
              <w:jc w:val="center"/>
              <w:rPr>
                <w:rFonts w:ascii="Tahoma" w:hAnsi="Tahoma" w:cs="Tahoma"/>
                <w:sz w:val="20"/>
                <w:szCs w:val="22"/>
              </w:rPr>
            </w:pPr>
            <w:r>
              <w:rPr>
                <w:rFonts w:ascii="Tahoma" w:hAnsi="Tahoma" w:cs="Tahoma"/>
                <w:sz w:val="20"/>
                <w:szCs w:val="22"/>
              </w:rPr>
              <w:t>50 years</w:t>
            </w:r>
          </w:p>
        </w:tc>
        <w:tc>
          <w:tcPr>
            <w:tcW w:w="3597" w:type="dxa"/>
            <w:vAlign w:val="center"/>
          </w:tcPr>
          <w:p w14:paraId="7AB9443D" w14:textId="77777777" w:rsidR="006B2EF2" w:rsidRDefault="006B2EF2" w:rsidP="00204DA0">
            <w:pPr>
              <w:jc w:val="center"/>
              <w:rPr>
                <w:rFonts w:ascii="Tahoma" w:hAnsi="Tahoma" w:cs="Tahoma"/>
                <w:sz w:val="20"/>
                <w:szCs w:val="22"/>
              </w:rPr>
            </w:pPr>
            <w:r>
              <w:rPr>
                <w:rFonts w:ascii="Tahoma" w:hAnsi="Tahoma" w:cs="Tahoma"/>
                <w:sz w:val="20"/>
                <w:szCs w:val="22"/>
              </w:rPr>
              <w:t>Every 2-4 years</w:t>
            </w:r>
          </w:p>
        </w:tc>
      </w:tr>
      <w:tr w:rsidR="006B2EF2" w14:paraId="154D0354" w14:textId="77777777" w:rsidTr="00204DA0">
        <w:trPr>
          <w:jc w:val="center"/>
        </w:trPr>
        <w:tc>
          <w:tcPr>
            <w:tcW w:w="3596" w:type="dxa"/>
            <w:vAlign w:val="center"/>
          </w:tcPr>
          <w:p w14:paraId="1AA0F41A" w14:textId="77777777" w:rsidR="006B2EF2" w:rsidRDefault="006B2EF2" w:rsidP="00204DA0">
            <w:pPr>
              <w:jc w:val="center"/>
              <w:rPr>
                <w:rFonts w:ascii="Tahoma" w:hAnsi="Tahoma" w:cs="Tahoma"/>
                <w:sz w:val="20"/>
                <w:szCs w:val="22"/>
              </w:rPr>
            </w:pPr>
            <w:r>
              <w:rPr>
                <w:rFonts w:ascii="Tahoma" w:hAnsi="Tahoma" w:cs="Tahoma"/>
                <w:sz w:val="20"/>
                <w:szCs w:val="22"/>
              </w:rPr>
              <w:t>Abdominal aortic aneurysm</w:t>
            </w:r>
          </w:p>
        </w:tc>
        <w:tc>
          <w:tcPr>
            <w:tcW w:w="3597" w:type="dxa"/>
            <w:vAlign w:val="center"/>
          </w:tcPr>
          <w:p w14:paraId="2BC1562C" w14:textId="77777777" w:rsidR="006B2EF2" w:rsidRDefault="006B2EF2" w:rsidP="00204DA0">
            <w:pPr>
              <w:jc w:val="center"/>
              <w:rPr>
                <w:rFonts w:ascii="Tahoma" w:hAnsi="Tahoma" w:cs="Tahoma"/>
                <w:sz w:val="20"/>
                <w:szCs w:val="22"/>
              </w:rPr>
            </w:pPr>
            <w:r>
              <w:rPr>
                <w:rFonts w:ascii="Tahoma" w:hAnsi="Tahoma" w:cs="Tahoma"/>
                <w:sz w:val="20"/>
                <w:szCs w:val="22"/>
              </w:rPr>
              <w:t>Men 65-75 who have ever smoked</w:t>
            </w:r>
          </w:p>
        </w:tc>
        <w:tc>
          <w:tcPr>
            <w:tcW w:w="3597" w:type="dxa"/>
            <w:vAlign w:val="center"/>
          </w:tcPr>
          <w:p w14:paraId="3313AFD3" w14:textId="77777777" w:rsidR="006B2EF2" w:rsidRDefault="006B2EF2" w:rsidP="00204DA0">
            <w:pPr>
              <w:jc w:val="center"/>
              <w:rPr>
                <w:rFonts w:ascii="Tahoma" w:hAnsi="Tahoma" w:cs="Tahoma"/>
                <w:sz w:val="20"/>
                <w:szCs w:val="22"/>
              </w:rPr>
            </w:pPr>
            <w:r>
              <w:rPr>
                <w:rFonts w:ascii="Tahoma" w:hAnsi="Tahoma" w:cs="Tahoma"/>
                <w:sz w:val="20"/>
                <w:szCs w:val="22"/>
              </w:rPr>
              <w:t>One-time ultrasound</w:t>
            </w:r>
          </w:p>
        </w:tc>
      </w:tr>
    </w:tbl>
    <w:p w14:paraId="4685608B" w14:textId="77777777" w:rsidR="006B2EF2" w:rsidRDefault="006B2EF2" w:rsidP="006B2EF2">
      <w:pPr>
        <w:rPr>
          <w:rFonts w:ascii="Tahoma" w:hAnsi="Tahoma" w:cs="Tahoma"/>
          <w:b/>
          <w:bCs/>
          <w:sz w:val="20"/>
          <w:szCs w:val="22"/>
        </w:rPr>
      </w:pPr>
      <w:r>
        <w:rPr>
          <w:rFonts w:ascii="Tahoma" w:hAnsi="Tahoma" w:cs="Tahoma"/>
          <w:sz w:val="20"/>
          <w:szCs w:val="22"/>
        </w:rPr>
        <w:br/>
        <w:t xml:space="preserve">On a </w:t>
      </w:r>
      <w:hyperlink r:id="rId9" w:history="1">
        <w:r w:rsidRPr="00466D7D">
          <w:rPr>
            <w:rStyle w:val="Hyperlink"/>
            <w:rFonts w:ascii="Tahoma" w:hAnsi="Tahoma" w:cs="Tahoma"/>
            <w:sz w:val="20"/>
            <w:szCs w:val="22"/>
          </w:rPr>
          <w:t>low-dose CT scan for lung cancer</w:t>
        </w:r>
      </w:hyperlink>
      <w:r>
        <w:rPr>
          <w:rFonts w:ascii="Tahoma" w:hAnsi="Tahoma" w:cs="Tahoma"/>
          <w:sz w:val="20"/>
          <w:szCs w:val="22"/>
        </w:rPr>
        <w:t>: “It can catch lung cancer early. Lung cancer doesn’t have defined symptoms like colon or breast cancer,” Huelskoetter says. “A lot of times, you catch those nodules early and monitor them yearly or every six months based on what the radiologist finds. Then we can get you scheduled for routine low-dose CTs.”</w:t>
      </w:r>
      <w:r>
        <w:rPr>
          <w:rFonts w:ascii="Tahoma" w:hAnsi="Tahoma" w:cs="Tahoma"/>
          <w:sz w:val="20"/>
          <w:szCs w:val="22"/>
        </w:rPr>
        <w:br/>
      </w:r>
      <w:r>
        <w:rPr>
          <w:rFonts w:ascii="Tahoma" w:hAnsi="Tahoma" w:cs="Tahoma"/>
          <w:sz w:val="20"/>
          <w:szCs w:val="22"/>
        </w:rPr>
        <w:br/>
        <w:t>She adds that this exam is geared toward smokers, but you can always bring it up with your provider.</w:t>
      </w:r>
      <w:r>
        <w:rPr>
          <w:rFonts w:ascii="Tahoma" w:hAnsi="Tahoma" w:cs="Tahoma"/>
          <w:sz w:val="20"/>
          <w:szCs w:val="22"/>
        </w:rPr>
        <w:br/>
      </w:r>
      <w:r>
        <w:rPr>
          <w:rFonts w:ascii="Tahoma" w:hAnsi="Tahoma" w:cs="Tahoma"/>
          <w:sz w:val="20"/>
          <w:szCs w:val="22"/>
        </w:rPr>
        <w:br/>
      </w:r>
      <w:r w:rsidRPr="00FA51DA">
        <w:rPr>
          <w:rFonts w:ascii="Tahoma" w:hAnsi="Tahoma" w:cs="Tahoma"/>
          <w:b/>
          <w:bCs/>
          <w:sz w:val="20"/>
          <w:szCs w:val="22"/>
        </w:rPr>
        <w:t>What about kids?</w:t>
      </w:r>
      <w:r>
        <w:rPr>
          <w:rFonts w:ascii="Tahoma" w:hAnsi="Tahoma" w:cs="Tahoma"/>
          <w:sz w:val="20"/>
          <w:szCs w:val="22"/>
        </w:rPr>
        <w:br/>
      </w:r>
      <w:r>
        <w:rPr>
          <w:rFonts w:ascii="Tahoma" w:hAnsi="Tahoma" w:cs="Tahoma"/>
          <w:sz w:val="20"/>
          <w:szCs w:val="22"/>
        </w:rPr>
        <w:br/>
        <w:t>Huelskoetter says children should see a provider at least once a year for a physical exam and to get caught up on vaccines, if needed.</w:t>
      </w:r>
      <w:r>
        <w:rPr>
          <w:rFonts w:ascii="Tahoma" w:hAnsi="Tahoma" w:cs="Tahoma"/>
          <w:sz w:val="20"/>
          <w:szCs w:val="22"/>
        </w:rPr>
        <w:br/>
      </w:r>
      <w:r>
        <w:rPr>
          <w:rFonts w:ascii="Tahoma" w:hAnsi="Tahoma" w:cs="Tahoma"/>
          <w:sz w:val="20"/>
          <w:szCs w:val="22"/>
        </w:rPr>
        <w:br/>
        <w:t>“Make sure the provider records their height and weight. The provider will do an eye exam, an ear exam and things like that,” Huelskoetter outlines. “We want to make sure we’re not missing anything. A lot of times, eye problems in children can be caught in school. But maybe the child isn’t school age yet. We can get them in, do an exam and maybe catch something early.”</w:t>
      </w:r>
      <w:r>
        <w:rPr>
          <w:rFonts w:ascii="Tahoma" w:hAnsi="Tahoma" w:cs="Tahoma"/>
          <w:sz w:val="20"/>
          <w:szCs w:val="22"/>
        </w:rPr>
        <w:br/>
      </w:r>
      <w:r>
        <w:rPr>
          <w:rFonts w:ascii="Tahoma" w:hAnsi="Tahoma" w:cs="Tahoma"/>
          <w:sz w:val="20"/>
          <w:szCs w:val="22"/>
        </w:rPr>
        <w:br/>
      </w:r>
    </w:p>
    <w:p w14:paraId="05D582BA" w14:textId="77777777" w:rsidR="006B2EF2" w:rsidRDefault="006B2EF2" w:rsidP="006B2EF2">
      <w:pPr>
        <w:rPr>
          <w:rFonts w:ascii="Tahoma" w:hAnsi="Tahoma" w:cs="Tahoma"/>
          <w:b/>
          <w:bCs/>
          <w:sz w:val="20"/>
          <w:szCs w:val="22"/>
        </w:rPr>
      </w:pPr>
    </w:p>
    <w:p w14:paraId="6B04BEF5" w14:textId="77777777" w:rsidR="006B2EF2" w:rsidRDefault="006B2EF2" w:rsidP="006B2EF2">
      <w:pPr>
        <w:rPr>
          <w:rFonts w:ascii="Tahoma" w:hAnsi="Tahoma" w:cs="Tahoma"/>
          <w:b/>
          <w:bCs/>
          <w:sz w:val="20"/>
          <w:szCs w:val="22"/>
        </w:rPr>
      </w:pPr>
    </w:p>
    <w:p w14:paraId="301EAF59" w14:textId="77777777" w:rsidR="006B2EF2" w:rsidRDefault="006B2EF2" w:rsidP="006B2EF2">
      <w:pPr>
        <w:rPr>
          <w:rFonts w:ascii="Tahoma" w:hAnsi="Tahoma" w:cs="Tahoma"/>
          <w:b/>
          <w:bCs/>
          <w:sz w:val="20"/>
          <w:szCs w:val="22"/>
        </w:rPr>
      </w:pPr>
    </w:p>
    <w:p w14:paraId="2439A401" w14:textId="77777777" w:rsidR="006B2EF2" w:rsidRDefault="006B2EF2" w:rsidP="006B2EF2">
      <w:pPr>
        <w:rPr>
          <w:rFonts w:ascii="Tahoma" w:hAnsi="Tahoma" w:cs="Tahoma"/>
          <w:b/>
          <w:bCs/>
          <w:sz w:val="20"/>
          <w:szCs w:val="22"/>
        </w:rPr>
      </w:pPr>
    </w:p>
    <w:p w14:paraId="52557674" w14:textId="77777777" w:rsidR="006B2EF2" w:rsidRPr="001E212C" w:rsidRDefault="006B2EF2" w:rsidP="006B2EF2">
      <w:pPr>
        <w:rPr>
          <w:rFonts w:ascii="Tahoma" w:hAnsi="Tahoma" w:cs="Tahoma"/>
          <w:sz w:val="20"/>
          <w:szCs w:val="22"/>
        </w:rPr>
      </w:pPr>
      <w:r w:rsidRPr="001E212C">
        <w:rPr>
          <w:rFonts w:ascii="Tahoma" w:hAnsi="Tahoma" w:cs="Tahoma"/>
          <w:b/>
          <w:bCs/>
          <w:sz w:val="20"/>
          <w:szCs w:val="22"/>
        </w:rPr>
        <w:lastRenderedPageBreak/>
        <w:t>At home</w:t>
      </w:r>
      <w:r>
        <w:rPr>
          <w:rFonts w:ascii="Tahoma" w:hAnsi="Tahoma" w:cs="Tahoma"/>
          <w:sz w:val="20"/>
          <w:szCs w:val="22"/>
        </w:rPr>
        <w:br/>
      </w:r>
      <w:r>
        <w:rPr>
          <w:rFonts w:ascii="Tahoma" w:hAnsi="Tahoma" w:cs="Tahoma"/>
          <w:sz w:val="20"/>
          <w:szCs w:val="22"/>
        </w:rPr>
        <w:br/>
        <w:t>Health care doesn’t end when you leave the clinic. Warm temperatures during spring can bring a renewed sense of optimism about changing daily habits.</w:t>
      </w:r>
      <w:r>
        <w:rPr>
          <w:rFonts w:ascii="Tahoma" w:hAnsi="Tahoma" w:cs="Tahoma"/>
          <w:sz w:val="20"/>
          <w:szCs w:val="22"/>
        </w:rPr>
        <w:br/>
      </w:r>
      <w:r>
        <w:rPr>
          <w:rFonts w:ascii="Tahoma" w:hAnsi="Tahoma" w:cs="Tahoma"/>
          <w:sz w:val="20"/>
          <w:szCs w:val="22"/>
        </w:rPr>
        <w:br/>
        <w:t>“One thing I always tell my patients: move your body,” Huelskoetter implores. “I’m not saying you need to go to the gym and do pushups, sit ups and deadlifts every day. Just move your body. Start at a pace that’s good for you. If you have a sedentary job or lifestyle, get a step counter or smartwatch to track your steps and see where you’re at.”</w:t>
      </w:r>
      <w:r>
        <w:rPr>
          <w:rFonts w:ascii="Tahoma" w:hAnsi="Tahoma" w:cs="Tahoma"/>
          <w:sz w:val="20"/>
          <w:szCs w:val="22"/>
        </w:rPr>
        <w:br/>
      </w:r>
      <w:r>
        <w:rPr>
          <w:rFonts w:ascii="Tahoma" w:hAnsi="Tahoma" w:cs="Tahoma"/>
          <w:sz w:val="20"/>
          <w:szCs w:val="22"/>
        </w:rPr>
        <w:br/>
        <w:t xml:space="preserve">For example, Huelskoetter says if you’re at 2,000 steps a day, set a goal of 10,000. </w:t>
      </w:r>
      <w:proofErr w:type="gramStart"/>
      <w:r>
        <w:rPr>
          <w:rFonts w:ascii="Tahoma" w:hAnsi="Tahoma" w:cs="Tahoma"/>
          <w:sz w:val="20"/>
          <w:szCs w:val="22"/>
        </w:rPr>
        <w:t>But</w:t>
      </w:r>
      <w:proofErr w:type="gramEnd"/>
      <w:r>
        <w:rPr>
          <w:rFonts w:ascii="Tahoma" w:hAnsi="Tahoma" w:cs="Tahoma"/>
          <w:sz w:val="20"/>
          <w:szCs w:val="22"/>
        </w:rPr>
        <w:t xml:space="preserve"> </w:t>
      </w:r>
      <w:proofErr w:type="gramStart"/>
      <w:r>
        <w:rPr>
          <w:rFonts w:ascii="Tahoma" w:hAnsi="Tahoma" w:cs="Tahoma"/>
          <w:sz w:val="20"/>
          <w:szCs w:val="22"/>
        </w:rPr>
        <w:t>start</w:t>
      </w:r>
      <w:proofErr w:type="gramEnd"/>
      <w:r>
        <w:rPr>
          <w:rFonts w:ascii="Tahoma" w:hAnsi="Tahoma" w:cs="Tahoma"/>
          <w:sz w:val="20"/>
          <w:szCs w:val="22"/>
        </w:rPr>
        <w:t xml:space="preserve"> small. For the first month, </w:t>
      </w:r>
      <w:proofErr w:type="gramStart"/>
      <w:r>
        <w:rPr>
          <w:rFonts w:ascii="Tahoma" w:hAnsi="Tahoma" w:cs="Tahoma"/>
          <w:sz w:val="20"/>
          <w:szCs w:val="22"/>
        </w:rPr>
        <w:t>aim</w:t>
      </w:r>
      <w:proofErr w:type="gramEnd"/>
      <w:r>
        <w:rPr>
          <w:rFonts w:ascii="Tahoma" w:hAnsi="Tahoma" w:cs="Tahoma"/>
          <w:sz w:val="20"/>
          <w:szCs w:val="22"/>
        </w:rPr>
        <w:t xml:space="preserve"> for 3,000 steps a day. Then increase it to 4,000, and so on. You can accomplish this, she says, through 30 minutes of exercise for five days a week.</w:t>
      </w:r>
      <w:r>
        <w:rPr>
          <w:rFonts w:ascii="Tahoma" w:hAnsi="Tahoma" w:cs="Tahoma"/>
          <w:sz w:val="20"/>
          <w:szCs w:val="22"/>
        </w:rPr>
        <w:br/>
      </w:r>
      <w:r>
        <w:rPr>
          <w:rFonts w:ascii="Tahoma" w:hAnsi="Tahoma" w:cs="Tahoma"/>
          <w:sz w:val="20"/>
          <w:szCs w:val="22"/>
        </w:rPr>
        <w:br/>
        <w:t>“This can lead to drastic improvements in your cardiovascular health, your mental health and your overall physical well-being,” Huelskoetter says. “Your joints won’t be as stiff because they’re used to movement.”</w:t>
      </w:r>
      <w:r>
        <w:rPr>
          <w:rFonts w:ascii="Tahoma" w:hAnsi="Tahoma" w:cs="Tahoma"/>
          <w:sz w:val="20"/>
          <w:szCs w:val="22"/>
        </w:rPr>
        <w:br/>
      </w:r>
      <w:r>
        <w:rPr>
          <w:rFonts w:ascii="Tahoma" w:hAnsi="Tahoma" w:cs="Tahoma"/>
          <w:sz w:val="20"/>
          <w:szCs w:val="22"/>
        </w:rPr>
        <w:br/>
        <w:t>Exercise should be paired with healthy food choices, such as cutting back on processed food.</w:t>
      </w:r>
      <w:r>
        <w:rPr>
          <w:rFonts w:ascii="Tahoma" w:hAnsi="Tahoma" w:cs="Tahoma"/>
          <w:sz w:val="20"/>
          <w:szCs w:val="22"/>
        </w:rPr>
        <w:br/>
      </w:r>
      <w:r>
        <w:rPr>
          <w:rFonts w:ascii="Tahoma" w:hAnsi="Tahoma" w:cs="Tahoma"/>
          <w:sz w:val="20"/>
          <w:szCs w:val="22"/>
        </w:rPr>
        <w:br/>
        <w:t>Spring might also be the time you say, “I’m finally going to quit that unhealthy habit,” like smoking.</w:t>
      </w:r>
      <w:r>
        <w:rPr>
          <w:rFonts w:ascii="Tahoma" w:hAnsi="Tahoma" w:cs="Tahoma"/>
          <w:sz w:val="20"/>
          <w:szCs w:val="22"/>
        </w:rPr>
        <w:br/>
      </w:r>
      <w:r>
        <w:rPr>
          <w:rFonts w:ascii="Tahoma" w:hAnsi="Tahoma" w:cs="Tahoma"/>
          <w:sz w:val="20"/>
          <w:szCs w:val="22"/>
        </w:rPr>
        <w:br/>
      </w:r>
      <w:proofErr w:type="spellStart"/>
      <w:r>
        <w:rPr>
          <w:rFonts w:ascii="Tahoma" w:hAnsi="Tahoma" w:cs="Tahoma"/>
          <w:sz w:val="20"/>
          <w:szCs w:val="22"/>
        </w:rPr>
        <w:t>Huelskoetter’s</w:t>
      </w:r>
      <w:proofErr w:type="spellEnd"/>
      <w:r>
        <w:rPr>
          <w:rFonts w:ascii="Tahoma" w:hAnsi="Tahoma" w:cs="Tahoma"/>
          <w:sz w:val="20"/>
          <w:szCs w:val="22"/>
        </w:rPr>
        <w:t xml:space="preserve"> response? “Now’s the time. Let’s do it,” she says.</w:t>
      </w:r>
      <w:r>
        <w:rPr>
          <w:rFonts w:ascii="Tahoma" w:hAnsi="Tahoma" w:cs="Tahoma"/>
          <w:sz w:val="20"/>
          <w:szCs w:val="22"/>
        </w:rPr>
        <w:br/>
      </w:r>
      <w:r>
        <w:rPr>
          <w:rFonts w:ascii="Tahoma" w:hAnsi="Tahoma" w:cs="Tahoma"/>
          <w:sz w:val="20"/>
          <w:szCs w:val="22"/>
        </w:rPr>
        <w:br/>
        <w:t xml:space="preserve">“Again, let’s start small. Get an appointment with your provider, and talk about options,” Huelskoetter suggests. “If you don’t feel you can quit cold turkey, which is extremely hard, there are options like </w:t>
      </w:r>
      <w:r w:rsidRPr="007A7F27">
        <w:rPr>
          <w:rFonts w:ascii="Tahoma" w:hAnsi="Tahoma" w:cs="Tahoma"/>
          <w:sz w:val="20"/>
          <w:szCs w:val="22"/>
        </w:rPr>
        <w:t>Wellbutrin</w:t>
      </w:r>
      <w:r>
        <w:rPr>
          <w:rFonts w:ascii="Tahoma" w:hAnsi="Tahoma" w:cs="Tahoma"/>
          <w:sz w:val="20"/>
          <w:szCs w:val="22"/>
        </w:rPr>
        <w:t>, Chantix or nicotine patches and lozenges. Sometimes we’ll even do cognitive behavioral therapy.”</w:t>
      </w:r>
    </w:p>
    <w:p w14:paraId="1BDCF956" w14:textId="77777777" w:rsidR="005E045C" w:rsidRPr="003D17EE" w:rsidRDefault="005E045C" w:rsidP="00571DEA"/>
    <w:sectPr w:rsidR="005E045C" w:rsidRPr="003D17EE" w:rsidSect="006B2EF2">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EBB76" w14:textId="77777777" w:rsidR="0094233F" w:rsidRDefault="0094233F">
      <w:r>
        <w:separator/>
      </w:r>
    </w:p>
  </w:endnote>
  <w:endnote w:type="continuationSeparator" w:id="0">
    <w:p w14:paraId="0FAE0203" w14:textId="77777777" w:rsidR="0094233F" w:rsidRDefault="00942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EC414" w14:textId="77777777" w:rsidR="006B2EF2" w:rsidRDefault="006B2E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2E547" w14:textId="77777777" w:rsidR="006B2EF2" w:rsidRDefault="006B2E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AD8F" w14:textId="77777777" w:rsidR="006B2EF2" w:rsidRDefault="006B2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5572C" w14:textId="77777777" w:rsidR="0094233F" w:rsidRDefault="0094233F">
      <w:r>
        <w:separator/>
      </w:r>
    </w:p>
  </w:footnote>
  <w:footnote w:type="continuationSeparator" w:id="0">
    <w:p w14:paraId="1C7232FB" w14:textId="77777777" w:rsidR="0094233F" w:rsidRDefault="00942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33E8" w14:textId="77777777" w:rsidR="006B2EF2" w:rsidRDefault="006B2E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53BA8" w14:textId="6C5DD193" w:rsidR="006B2EF2" w:rsidRDefault="006B2E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A4018" w14:textId="77777777" w:rsidR="006B2EF2" w:rsidRDefault="006B2E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F2"/>
    <w:rsid w:val="00137A77"/>
    <w:rsid w:val="00151530"/>
    <w:rsid w:val="00191036"/>
    <w:rsid w:val="002417E5"/>
    <w:rsid w:val="003B5E63"/>
    <w:rsid w:val="003D17EE"/>
    <w:rsid w:val="004C3584"/>
    <w:rsid w:val="00571DEA"/>
    <w:rsid w:val="005A44ED"/>
    <w:rsid w:val="005E045C"/>
    <w:rsid w:val="006B2EF2"/>
    <w:rsid w:val="0074219F"/>
    <w:rsid w:val="00840E91"/>
    <w:rsid w:val="00861218"/>
    <w:rsid w:val="009051F7"/>
    <w:rsid w:val="0094233F"/>
    <w:rsid w:val="00CB7283"/>
    <w:rsid w:val="00DB3202"/>
    <w:rsid w:val="00E10E31"/>
    <w:rsid w:val="00E25D25"/>
    <w:rsid w:val="00FC4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B1B8E"/>
  <w15:chartTrackingRefBased/>
  <w15:docId w15:val="{837E2893-DDC6-4003-9BC2-95F40010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EF2"/>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6B2EF2"/>
    <w:pPr>
      <w:tabs>
        <w:tab w:val="center" w:pos="4680"/>
        <w:tab w:val="right" w:pos="9360"/>
      </w:tabs>
    </w:pPr>
  </w:style>
  <w:style w:type="character" w:customStyle="1" w:styleId="HeaderChar">
    <w:name w:val="Header Char"/>
    <w:basedOn w:val="DefaultParagraphFont"/>
    <w:link w:val="Header"/>
    <w:uiPriority w:val="99"/>
    <w:rsid w:val="006B2EF2"/>
    <w:rPr>
      <w:rFonts w:ascii="Cambria" w:hAnsi="Cambria"/>
      <w:sz w:val="22"/>
    </w:rPr>
  </w:style>
  <w:style w:type="paragraph" w:styleId="Footer">
    <w:name w:val="footer"/>
    <w:basedOn w:val="Normal"/>
    <w:link w:val="FooterChar"/>
    <w:uiPriority w:val="99"/>
    <w:unhideWhenUsed/>
    <w:rsid w:val="006B2EF2"/>
    <w:pPr>
      <w:tabs>
        <w:tab w:val="center" w:pos="4680"/>
        <w:tab w:val="right" w:pos="9360"/>
      </w:tabs>
    </w:pPr>
  </w:style>
  <w:style w:type="character" w:customStyle="1" w:styleId="FooterChar">
    <w:name w:val="Footer Char"/>
    <w:basedOn w:val="DefaultParagraphFont"/>
    <w:link w:val="Footer"/>
    <w:uiPriority w:val="99"/>
    <w:rsid w:val="006B2EF2"/>
    <w:rPr>
      <w:rFonts w:ascii="Cambria" w:hAnsi="Cambria"/>
      <w:sz w:val="22"/>
    </w:rPr>
  </w:style>
  <w:style w:type="character" w:styleId="Hyperlink">
    <w:name w:val="Hyperlink"/>
    <w:basedOn w:val="DefaultParagraphFont"/>
    <w:uiPriority w:val="99"/>
    <w:unhideWhenUsed/>
    <w:rsid w:val="006B2EF2"/>
    <w:rPr>
      <w:color w:val="007F9B" w:themeColor="hyperlink"/>
      <w:u w:val="single"/>
    </w:rPr>
  </w:style>
  <w:style w:type="table" w:styleId="TableGrid">
    <w:name w:val="Table Grid"/>
    <w:basedOn w:val="TableNormal"/>
    <w:uiPriority w:val="39"/>
    <w:rsid w:val="006B2E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providers/bethany-huelskoetter-146363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ewsroom.osfhealthcare.org/delfi-diagnostics-release/"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hqaoswug.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hqaoswug</Template>
  <TotalTime>0</TotalTime>
  <Pages>2</Pages>
  <Words>709</Words>
  <Characters>3463</Characters>
  <Application>Microsoft Office Word</Application>
  <DocSecurity>0</DocSecurity>
  <Lines>102</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3</cp:revision>
  <dcterms:created xsi:type="dcterms:W3CDTF">2026-03-25T14:23:00Z</dcterms:created>
  <dcterms:modified xsi:type="dcterms:W3CDTF">2026-03-25T14:27:00Z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