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2F4C5" w14:textId="169F5E85" w:rsidR="00343A52" w:rsidRPr="004A1E67" w:rsidRDefault="00343A52" w:rsidP="00343A52">
      <w:pPr>
        <w:pStyle w:val="NormalWeb"/>
        <w:rPr>
          <w:rFonts w:ascii="Tahoma" w:hAnsi="Tahoma" w:cs="Tahoma"/>
          <w:b/>
          <w:bCs/>
        </w:rPr>
      </w:pPr>
      <w:r w:rsidRPr="004A1E67">
        <w:rPr>
          <w:rFonts w:ascii="Tahoma" w:hAnsi="Tahoma" w:cs="Tahoma"/>
          <w:b/>
          <w:bCs/>
        </w:rPr>
        <w:t xml:space="preserve">Script – </w:t>
      </w:r>
      <w:r>
        <w:rPr>
          <w:rFonts w:ascii="Tahoma" w:hAnsi="Tahoma" w:cs="Tahoma"/>
          <w:b/>
          <w:bCs/>
        </w:rPr>
        <w:t>Broadcast</w:t>
      </w:r>
      <w:r w:rsidRPr="004A1E67">
        <w:rPr>
          <w:rFonts w:ascii="Tahoma" w:hAnsi="Tahoma" w:cs="Tahoma"/>
          <w:b/>
          <w:bCs/>
        </w:rPr>
        <w:t xml:space="preserve"> – Choosing between ibuprofen and acetaminophen </w:t>
      </w:r>
    </w:p>
    <w:p w14:paraId="39E44AE9" w14:textId="34D6F642" w:rsidR="00343A52" w:rsidRDefault="00343A52" w:rsidP="00343A52">
      <w:pPr>
        <w:pStyle w:val="NormalWeb"/>
        <w:rPr>
          <w:rFonts w:ascii="Tahoma" w:hAnsi="Tahoma" w:cs="Tahoma"/>
          <w:b/>
          <w:bCs/>
          <w:sz w:val="20"/>
          <w:szCs w:val="20"/>
        </w:rPr>
      </w:pPr>
      <w:r w:rsidRPr="00343A52">
        <w:rPr>
          <w:rFonts w:ascii="Tahoma" w:hAnsi="Tahoma" w:cs="Tahoma"/>
          <w:b/>
          <w:bCs/>
          <w:sz w:val="20"/>
          <w:szCs w:val="20"/>
        </w:rPr>
        <w:t xml:space="preserve">INTRO </w:t>
      </w:r>
    </w:p>
    <w:p w14:paraId="2BE4FBB0" w14:textId="6A25741C" w:rsidR="00343A52" w:rsidRPr="00343A52" w:rsidRDefault="00343A52" w:rsidP="00343A52">
      <w:pPr>
        <w:pStyle w:val="NormalWeb"/>
        <w:rPr>
          <w:rFonts w:ascii="Tahoma" w:hAnsi="Tahoma" w:cs="Tahoma"/>
          <w:b/>
          <w:bCs/>
          <w:sz w:val="20"/>
          <w:szCs w:val="20"/>
        </w:rPr>
      </w:pPr>
      <w:r w:rsidRPr="004A1E67">
        <w:rPr>
          <w:rFonts w:ascii="Tahoma" w:hAnsi="Tahoma" w:cs="Tahoma"/>
          <w:sz w:val="20"/>
          <w:szCs w:val="20"/>
        </w:rPr>
        <w:t>Whenever you feel a headache coming on or you tweak your back, it’s common to reach into the medicine cabinet for a couple of acetaminophens (Tylenol) or ibuprofen (Advil). But does it matter which one you take? And is there anything wrong with taking both to fight off what ails you?</w:t>
      </w:r>
    </w:p>
    <w:p w14:paraId="146B66CB" w14:textId="0DC22883" w:rsidR="00343A52" w:rsidRPr="004A1E67" w:rsidRDefault="00343A52" w:rsidP="00343A52">
      <w:pPr>
        <w:pStyle w:val="NormalWeb"/>
        <w:rPr>
          <w:rFonts w:ascii="Tahoma" w:hAnsi="Tahoma" w:cs="Tahoma"/>
          <w:sz w:val="20"/>
          <w:szCs w:val="20"/>
        </w:rPr>
      </w:pPr>
      <w:r w:rsidRPr="004A1E67">
        <w:rPr>
          <w:rFonts w:ascii="Tahoma" w:hAnsi="Tahoma" w:cs="Tahoma"/>
          <w:sz w:val="20"/>
          <w:szCs w:val="20"/>
        </w:rPr>
        <w:t>Acetaminophen is an analgesic, which is a type of drug that reduces pain signals within your nervous system. It’s used to treat discomfort like headaches and joint pain, and to reduce fever.</w:t>
      </w:r>
      <w:r>
        <w:rPr>
          <w:rFonts w:ascii="Tahoma" w:hAnsi="Tahoma" w:cs="Tahoma"/>
          <w:sz w:val="20"/>
          <w:szCs w:val="20"/>
        </w:rPr>
        <w:t xml:space="preserve"> </w:t>
      </w:r>
      <w:r w:rsidRPr="004A1E67">
        <w:rPr>
          <w:rFonts w:ascii="Tahoma" w:hAnsi="Tahoma" w:cs="Tahoma"/>
          <w:sz w:val="20"/>
          <w:szCs w:val="20"/>
        </w:rPr>
        <w:t>Ibuprofen is a nonsteroidal anti-inflammatory drug (NSAID) that is typically used to tackle issues such as back pain, menstrual cramps and toothaches. It also works to decrease fever.</w:t>
      </w:r>
    </w:p>
    <w:p w14:paraId="75506F31" w14:textId="77777777" w:rsidR="00343A52" w:rsidRPr="00343A52" w:rsidRDefault="00343A52" w:rsidP="00343A52">
      <w:pPr>
        <w:pStyle w:val="NormalWeb"/>
        <w:rPr>
          <w:rFonts w:ascii="Tahoma" w:hAnsi="Tahoma" w:cs="Tahoma"/>
          <w:b/>
          <w:bCs/>
          <w:sz w:val="20"/>
          <w:szCs w:val="20"/>
        </w:rPr>
      </w:pPr>
      <w:r w:rsidRPr="00343A52">
        <w:rPr>
          <w:rFonts w:ascii="Tahoma" w:hAnsi="Tahoma" w:cs="Tahoma"/>
          <w:b/>
          <w:bCs/>
          <w:sz w:val="20"/>
          <w:szCs w:val="20"/>
        </w:rPr>
        <w:t xml:space="preserve">VO </w:t>
      </w:r>
    </w:p>
    <w:p w14:paraId="27A38D7F" w14:textId="5326196A" w:rsidR="00343A52" w:rsidRPr="004A1E67" w:rsidRDefault="00343A52" w:rsidP="00343A52">
      <w:pPr>
        <w:pStyle w:val="NormalWeb"/>
        <w:rPr>
          <w:rFonts w:ascii="Tahoma" w:hAnsi="Tahoma" w:cs="Tahoma"/>
          <w:sz w:val="20"/>
          <w:szCs w:val="20"/>
        </w:rPr>
      </w:pPr>
      <w:r w:rsidRPr="004A1E67">
        <w:rPr>
          <w:rFonts w:ascii="Tahoma" w:hAnsi="Tahoma" w:cs="Tahoma"/>
          <w:sz w:val="20"/>
          <w:szCs w:val="20"/>
        </w:rPr>
        <w:t>But each pain reliever comes with its own risks.</w:t>
      </w:r>
      <w:r>
        <w:rPr>
          <w:rFonts w:ascii="Tahoma" w:hAnsi="Tahoma" w:cs="Tahoma"/>
          <w:sz w:val="20"/>
          <w:szCs w:val="20"/>
        </w:rPr>
        <w:t xml:space="preserve"> </w:t>
      </w:r>
      <w:r w:rsidRPr="004A1E67">
        <w:rPr>
          <w:rFonts w:ascii="Tahoma" w:hAnsi="Tahoma" w:cs="Tahoma"/>
          <w:sz w:val="20"/>
          <w:szCs w:val="20"/>
        </w:rPr>
        <w:t>Acetaminophen is typically safer to use for most people. Some side effects include nausea, vomiting and headache. But it’s a drug that's absorbed by your liver so it’s not the best option for people with liver problems.  </w:t>
      </w:r>
    </w:p>
    <w:p w14:paraId="4877F9DB" w14:textId="77777777" w:rsidR="00343A52" w:rsidRDefault="00343A52" w:rsidP="00343A52">
      <w:pPr>
        <w:pStyle w:val="NormalWeb"/>
        <w:rPr>
          <w:rFonts w:ascii="Tahoma" w:hAnsi="Tahoma" w:cs="Tahoma"/>
          <w:sz w:val="20"/>
          <w:szCs w:val="20"/>
        </w:rPr>
      </w:pPr>
      <w:r w:rsidRPr="004A1E67">
        <w:rPr>
          <w:rFonts w:ascii="Tahoma" w:hAnsi="Tahoma" w:cs="Tahoma"/>
          <w:sz w:val="20"/>
          <w:szCs w:val="20"/>
        </w:rPr>
        <w:t>The side effects of ibuprofen include heartburn, nausea and stomach pain (it’s important to take it with food). Taking ibuprofen for a long time or at high doses can increase the risk of blood clots, kidney damage and ulcers.</w:t>
      </w:r>
    </w:p>
    <w:p w14:paraId="7F0144F4" w14:textId="4601954B" w:rsidR="00343A52" w:rsidRPr="004A1E67" w:rsidRDefault="00343A52" w:rsidP="00343A52">
      <w:pPr>
        <w:pStyle w:val="NormalWeb"/>
        <w:rPr>
          <w:rFonts w:ascii="Tahoma" w:hAnsi="Tahoma" w:cs="Tahoma"/>
          <w:sz w:val="20"/>
          <w:szCs w:val="20"/>
        </w:rPr>
      </w:pPr>
      <w:r w:rsidRPr="004A1E67">
        <w:rPr>
          <w:rFonts w:ascii="Tahoma" w:hAnsi="Tahoma" w:cs="Tahoma"/>
          <w:sz w:val="20"/>
          <w:szCs w:val="20"/>
        </w:rPr>
        <w:t>Sarah Sheley is a pharmacist with OSF HealthCare.</w:t>
      </w:r>
    </w:p>
    <w:p w14:paraId="1D85B650" w14:textId="77777777" w:rsidR="00343A52" w:rsidRPr="00343A52" w:rsidRDefault="00343A52" w:rsidP="00343A52">
      <w:pPr>
        <w:pStyle w:val="NormalWeb"/>
        <w:rPr>
          <w:rFonts w:ascii="Tahoma" w:hAnsi="Tahoma" w:cs="Tahoma"/>
          <w:b/>
          <w:bCs/>
          <w:sz w:val="20"/>
          <w:szCs w:val="20"/>
        </w:rPr>
      </w:pPr>
      <w:r w:rsidRPr="00343A52">
        <w:rPr>
          <w:rFonts w:ascii="Tahoma" w:hAnsi="Tahoma" w:cs="Tahoma"/>
          <w:b/>
          <w:bCs/>
          <w:sz w:val="20"/>
          <w:szCs w:val="20"/>
        </w:rPr>
        <w:t xml:space="preserve">((((SOT))) </w:t>
      </w:r>
    </w:p>
    <w:p w14:paraId="7B588DC3" w14:textId="77777777" w:rsidR="00343A52" w:rsidRPr="00343A52" w:rsidRDefault="00343A52" w:rsidP="00343A52">
      <w:pPr>
        <w:pStyle w:val="NormalWeb"/>
        <w:rPr>
          <w:rFonts w:ascii="Tahoma" w:hAnsi="Tahoma" w:cs="Tahoma"/>
          <w:b/>
          <w:bCs/>
          <w:sz w:val="20"/>
          <w:szCs w:val="20"/>
        </w:rPr>
      </w:pPr>
      <w:r w:rsidRPr="00343A52">
        <w:rPr>
          <w:rFonts w:ascii="Tahoma" w:hAnsi="Tahoma" w:cs="Tahoma"/>
          <w:b/>
          <w:bCs/>
          <w:sz w:val="20"/>
          <w:szCs w:val="20"/>
        </w:rPr>
        <w:t xml:space="preserve">Sarah Sheley, pharmacist, OSF HealthCare </w:t>
      </w:r>
    </w:p>
    <w:p w14:paraId="3DB933A8" w14:textId="27A46887" w:rsidR="00343A52" w:rsidRPr="00343A52" w:rsidRDefault="00343A52" w:rsidP="00343A52">
      <w:pPr>
        <w:pStyle w:val="NormalWeb"/>
        <w:rPr>
          <w:rFonts w:ascii="Tahoma" w:hAnsi="Tahoma" w:cs="Tahoma"/>
          <w:color w:val="FF0000"/>
          <w:sz w:val="20"/>
          <w:szCs w:val="20"/>
        </w:rPr>
      </w:pPr>
      <w:r w:rsidRPr="00343A52">
        <w:rPr>
          <w:rFonts w:ascii="Tahoma" w:hAnsi="Tahoma" w:cs="Tahoma"/>
          <w:color w:val="FF0000"/>
          <w:sz w:val="20"/>
          <w:szCs w:val="20"/>
        </w:rPr>
        <w:t>“With ibuprofen there is more concern with patients using it if they had renal insufficiency, heart failure, GI (gastrointestinal) issues like Crohn's or IBS; they could cause a lot of irritation in the GI tract or stomach</w:t>
      </w:r>
      <w:r w:rsidRPr="00343A52">
        <w:rPr>
          <w:rFonts w:ascii="Tahoma" w:hAnsi="Tahoma" w:cs="Tahoma"/>
          <w:color w:val="FF0000"/>
          <w:sz w:val="20"/>
          <w:szCs w:val="20"/>
        </w:rPr>
        <w:t xml:space="preserve">.” (:14) </w:t>
      </w:r>
    </w:p>
    <w:p w14:paraId="36FA771E" w14:textId="77777777" w:rsidR="00343A52" w:rsidRPr="00343A52" w:rsidRDefault="00343A52" w:rsidP="00343A52">
      <w:pPr>
        <w:pStyle w:val="NormalWeb"/>
        <w:rPr>
          <w:rFonts w:ascii="Tahoma" w:hAnsi="Tahoma" w:cs="Tahoma"/>
          <w:b/>
          <w:bCs/>
          <w:sz w:val="20"/>
          <w:szCs w:val="20"/>
        </w:rPr>
      </w:pPr>
      <w:r w:rsidRPr="00343A52">
        <w:rPr>
          <w:rFonts w:ascii="Tahoma" w:hAnsi="Tahoma" w:cs="Tahoma"/>
          <w:b/>
          <w:bCs/>
          <w:sz w:val="20"/>
          <w:szCs w:val="20"/>
        </w:rPr>
        <w:t xml:space="preserve">TAG </w:t>
      </w:r>
    </w:p>
    <w:p w14:paraId="0F870665" w14:textId="53CCBC00" w:rsidR="00343A52" w:rsidRPr="004A1E67" w:rsidRDefault="00343A52" w:rsidP="00343A52">
      <w:pPr>
        <w:pStyle w:val="NormalWeb"/>
        <w:rPr>
          <w:rFonts w:ascii="Tahoma" w:hAnsi="Tahoma" w:cs="Tahoma"/>
          <w:sz w:val="20"/>
          <w:szCs w:val="20"/>
        </w:rPr>
      </w:pPr>
      <w:r w:rsidRPr="004A1E67">
        <w:rPr>
          <w:rFonts w:ascii="Tahoma" w:hAnsi="Tahoma" w:cs="Tahoma"/>
          <w:sz w:val="20"/>
          <w:szCs w:val="20"/>
        </w:rPr>
        <w:t>Since the two pain relievers work differently, Sheley says it’s fine for most adults to use them interchangeably.</w:t>
      </w:r>
      <w:r>
        <w:rPr>
          <w:rFonts w:ascii="Tahoma" w:hAnsi="Tahoma" w:cs="Tahoma"/>
          <w:sz w:val="20"/>
          <w:szCs w:val="20"/>
        </w:rPr>
        <w:t xml:space="preserve"> She adds that</w:t>
      </w:r>
      <w:r w:rsidRPr="004A1E67">
        <w:rPr>
          <w:rFonts w:ascii="Tahoma" w:hAnsi="Tahoma" w:cs="Tahoma"/>
          <w:sz w:val="20"/>
          <w:szCs w:val="20"/>
        </w:rPr>
        <w:t xml:space="preserve"> the most important tip is to know why you’re taking a particular pain reliever and don’t overdo it. The recommended maximum dosage for adults is 3,000 milligrams a day for acetaminophen and 2,400 milligrams a day if you’re taking ibuprofen.</w:t>
      </w:r>
    </w:p>
    <w:p w14:paraId="4A0CF9FA" w14:textId="77777777" w:rsidR="00343A52" w:rsidRDefault="00343A52" w:rsidP="00343A52">
      <w:pPr>
        <w:pStyle w:val="NormalWeb"/>
        <w:rPr>
          <w:rFonts w:ascii="Tahoma" w:hAnsi="Tahoma" w:cs="Tahoma"/>
          <w:sz w:val="20"/>
          <w:szCs w:val="20"/>
        </w:rPr>
      </w:pPr>
      <w:r w:rsidRPr="004A1E67">
        <w:rPr>
          <w:rFonts w:ascii="Tahoma" w:hAnsi="Tahoma" w:cs="Tahoma"/>
          <w:sz w:val="20"/>
          <w:szCs w:val="20"/>
        </w:rPr>
        <w:t>Additionally, other factors such as your medical history and underlying cause of pain also help determine which pain reliever is best for you.</w:t>
      </w:r>
    </w:p>
    <w:p w14:paraId="03A38FF9" w14:textId="77777777" w:rsidR="00343A52" w:rsidRPr="004A1E67" w:rsidRDefault="00343A52" w:rsidP="00343A52">
      <w:pPr>
        <w:pStyle w:val="NormalWeb"/>
        <w:rPr>
          <w:rFonts w:ascii="Tahoma" w:hAnsi="Tahoma" w:cs="Tahoma"/>
          <w:sz w:val="20"/>
          <w:szCs w:val="20"/>
        </w:rPr>
      </w:pPr>
      <w:r w:rsidRPr="004A1E67">
        <w:rPr>
          <w:rFonts w:ascii="Tahoma" w:hAnsi="Tahoma" w:cs="Tahoma"/>
          <w:sz w:val="20"/>
          <w:szCs w:val="20"/>
        </w:rPr>
        <w:t>Sheley says that acetaminophen and ibuprofen are appropriate choices for children with fevers. However, stick with acetaminophen for infants 3 months or younger. The correct dose for your child is based on their weight, not their age. Do not guess their weight — acetaminophen and ibuprofen can be dangerous when given in the wrong dose. Check with your pediatrician before giving your child any pain relievers. </w:t>
      </w:r>
    </w:p>
    <w:p w14:paraId="1B24C032" w14:textId="15039D14" w:rsidR="005E045C" w:rsidRPr="00343A52" w:rsidRDefault="00343A52" w:rsidP="00343A52">
      <w:pPr>
        <w:pStyle w:val="NormalWeb"/>
        <w:rPr>
          <w:rFonts w:ascii="Tahoma" w:hAnsi="Tahoma" w:cs="Tahoma"/>
          <w:sz w:val="20"/>
          <w:szCs w:val="20"/>
        </w:rPr>
      </w:pPr>
      <w:r w:rsidRPr="004A1E67">
        <w:rPr>
          <w:rFonts w:ascii="Tahoma" w:hAnsi="Tahoma" w:cs="Tahoma"/>
          <w:sz w:val="20"/>
          <w:szCs w:val="20"/>
        </w:rPr>
        <w:t>Be aware that ibuprofen and acetaminophen can have a negative interaction with some prescription and over-the-counter drugs. If you have any concerns or questions, consult with your primary care provider or your pharmacist.</w:t>
      </w:r>
    </w:p>
    <w:sectPr w:rsidR="005E045C" w:rsidRPr="00343A52" w:rsidSect="00DB32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A52"/>
    <w:rsid w:val="00137A77"/>
    <w:rsid w:val="00191036"/>
    <w:rsid w:val="002417E5"/>
    <w:rsid w:val="00343A52"/>
    <w:rsid w:val="003B5E63"/>
    <w:rsid w:val="003D17EE"/>
    <w:rsid w:val="004C3584"/>
    <w:rsid w:val="00571DEA"/>
    <w:rsid w:val="005A44ED"/>
    <w:rsid w:val="005E045C"/>
    <w:rsid w:val="0074219F"/>
    <w:rsid w:val="00840E91"/>
    <w:rsid w:val="009051F7"/>
    <w:rsid w:val="00B711D7"/>
    <w:rsid w:val="00CB7283"/>
    <w:rsid w:val="00DB3202"/>
    <w:rsid w:val="00E10E31"/>
    <w:rsid w:val="00E25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90372"/>
  <w15:chartTrackingRefBased/>
  <w15:docId w15:val="{F8047D28-006F-423E-B7B1-64D16CBF6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A52"/>
    <w:rPr>
      <w:rFonts w:ascii="Cambria" w:hAnsi="Cambria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1036"/>
    <w:pPr>
      <w:keepNext/>
      <w:keepLines/>
      <w:spacing w:before="240"/>
      <w:outlineLvl w:val="0"/>
    </w:pPr>
    <w:rPr>
      <w:rFonts w:eastAsiaTheme="majorEastAsia" w:cstheme="majorBidi"/>
      <w:color w:val="00A9CE" w:themeColor="accent3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1036"/>
    <w:pPr>
      <w:keepNext/>
      <w:keepLines/>
      <w:spacing w:before="40"/>
      <w:outlineLvl w:val="1"/>
    </w:pPr>
    <w:rPr>
      <w:rFonts w:eastAsiaTheme="majorEastAsia" w:cstheme="majorBidi"/>
      <w:color w:val="64A70B" w:themeColor="accent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7283"/>
    <w:pPr>
      <w:keepNext/>
      <w:keepLines/>
      <w:spacing w:before="40"/>
      <w:outlineLvl w:val="2"/>
    </w:pPr>
    <w:rPr>
      <w:rFonts w:eastAsiaTheme="majorEastAsia" w:cstheme="majorBidi"/>
      <w:color w:val="000000" w:themeColor="text1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1036"/>
    <w:rPr>
      <w:rFonts w:eastAsiaTheme="majorEastAsia" w:cstheme="majorBidi"/>
      <w:color w:val="00A9CE" w:themeColor="accent3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91036"/>
    <w:rPr>
      <w:rFonts w:eastAsiaTheme="majorEastAsia" w:cstheme="majorBidi"/>
      <w:color w:val="64A70B" w:themeColor="accent1"/>
      <w:sz w:val="3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2417E5"/>
    <w:pPr>
      <w:contextualSpacing/>
    </w:pPr>
    <w:rPr>
      <w:rFonts w:eastAsiaTheme="majorEastAsia" w:cs="Times New Roman (Headings CS)"/>
      <w:b/>
      <w:color w:val="64A70B" w:themeColor="accent1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17E5"/>
    <w:rPr>
      <w:rFonts w:eastAsiaTheme="majorEastAsia" w:cs="Times New Roman (Headings CS)"/>
      <w:b/>
      <w:color w:val="64A70B" w:themeColor="accent1"/>
      <w:spacing w:val="-10"/>
      <w:kern w:val="28"/>
      <w:sz w:val="72"/>
      <w:szCs w:val="5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036"/>
    <w:pPr>
      <w:pBdr>
        <w:top w:val="single" w:sz="4" w:space="10" w:color="64A70B" w:themeColor="accent1"/>
        <w:bottom w:val="single" w:sz="4" w:space="10" w:color="64A70B" w:themeColor="accent1"/>
      </w:pBdr>
      <w:spacing w:before="360" w:after="360"/>
      <w:ind w:left="864" w:right="864"/>
      <w:jc w:val="center"/>
    </w:pPr>
    <w:rPr>
      <w:b/>
      <w:i/>
      <w:iCs/>
      <w:color w:val="64A70B" w:themeColor="accent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036"/>
    <w:rPr>
      <w:rFonts w:ascii="Cambria" w:hAnsi="Cambria"/>
      <w:b/>
      <w:i/>
      <w:iCs/>
      <w:color w:val="64A70B" w:themeColor="accent1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1036"/>
    <w:pPr>
      <w:spacing w:before="200" w:after="160"/>
      <w:ind w:left="864" w:right="864"/>
      <w:jc w:val="center"/>
    </w:pPr>
    <w:rPr>
      <w:i/>
      <w:iCs/>
      <w:color w:val="404040" w:themeColor="text1" w:themeTint="BF"/>
      <w:sz w:val="32"/>
    </w:rPr>
  </w:style>
  <w:style w:type="character" w:customStyle="1" w:styleId="QuoteChar">
    <w:name w:val="Quote Char"/>
    <w:basedOn w:val="DefaultParagraphFont"/>
    <w:link w:val="Quote"/>
    <w:uiPriority w:val="29"/>
    <w:rsid w:val="00191036"/>
    <w:rPr>
      <w:rFonts w:ascii="Cambria" w:hAnsi="Cambria"/>
      <w:i/>
      <w:iCs/>
      <w:color w:val="404040" w:themeColor="text1" w:themeTint="BF"/>
      <w:sz w:val="32"/>
    </w:rPr>
  </w:style>
  <w:style w:type="character" w:styleId="IntenseReference">
    <w:name w:val="Intense Reference"/>
    <w:basedOn w:val="DefaultParagraphFont"/>
    <w:uiPriority w:val="32"/>
    <w:qFormat/>
    <w:rsid w:val="004C3584"/>
    <w:rPr>
      <w:rFonts w:asciiTheme="minorHAnsi" w:hAnsiTheme="minorHAnsi"/>
      <w:b/>
      <w:bCs/>
      <w:smallCaps/>
      <w:color w:val="64A70B" w:themeColor="accent1"/>
      <w:spacing w:val="5"/>
      <w:sz w:val="21"/>
    </w:rPr>
  </w:style>
  <w:style w:type="paragraph" w:styleId="NoSpacing">
    <w:name w:val="No Spacing"/>
    <w:uiPriority w:val="1"/>
    <w:qFormat/>
    <w:rsid w:val="002417E5"/>
    <w:rPr>
      <w:sz w:val="22"/>
    </w:rPr>
  </w:style>
  <w:style w:type="paragraph" w:customStyle="1" w:styleId="Title2">
    <w:name w:val="Title 2"/>
    <w:basedOn w:val="Normal"/>
    <w:next w:val="Normal"/>
    <w:link w:val="Title2Char"/>
    <w:qFormat/>
    <w:rsid w:val="002417E5"/>
    <w:rPr>
      <w:rFonts w:ascii="Calibri" w:hAnsi="Calibri" w:cs="Times New Roman (Body CS)"/>
      <w:b/>
      <w:caps/>
      <w:color w:val="64A70B" w:themeColor="accent1"/>
      <w:spacing w:val="10"/>
      <w:sz w:val="72"/>
      <w:szCs w:val="22"/>
    </w:rPr>
  </w:style>
  <w:style w:type="paragraph" w:customStyle="1" w:styleId="Title3">
    <w:name w:val="Title 3"/>
    <w:basedOn w:val="Title"/>
    <w:link w:val="Title3Char"/>
    <w:qFormat/>
    <w:rsid w:val="00CB7283"/>
    <w:rPr>
      <w:rFonts w:asciiTheme="majorHAnsi" w:hAnsiTheme="majorHAnsi"/>
      <w:b w:val="0"/>
    </w:rPr>
  </w:style>
  <w:style w:type="character" w:customStyle="1" w:styleId="Title2Char">
    <w:name w:val="Title 2 Char"/>
    <w:basedOn w:val="DefaultParagraphFont"/>
    <w:link w:val="Title2"/>
    <w:rsid w:val="002417E5"/>
    <w:rPr>
      <w:rFonts w:ascii="Calibri" w:hAnsi="Calibri" w:cs="Times New Roman (Body CS)"/>
      <w:b/>
      <w:caps/>
      <w:color w:val="64A70B" w:themeColor="accent1"/>
      <w:spacing w:val="10"/>
      <w:sz w:val="72"/>
      <w:szCs w:val="22"/>
    </w:rPr>
  </w:style>
  <w:style w:type="paragraph" w:customStyle="1" w:styleId="Title4">
    <w:name w:val="Title 4"/>
    <w:basedOn w:val="Title"/>
    <w:next w:val="Normal"/>
    <w:link w:val="Title4Char"/>
    <w:qFormat/>
    <w:rsid w:val="00CB7283"/>
    <w:rPr>
      <w:rFonts w:asciiTheme="majorHAnsi" w:hAnsiTheme="majorHAnsi"/>
      <w:b w:val="0"/>
      <w:caps/>
      <w:spacing w:val="0"/>
    </w:rPr>
  </w:style>
  <w:style w:type="character" w:customStyle="1" w:styleId="Title3Char">
    <w:name w:val="Title 3 Char"/>
    <w:basedOn w:val="TitleChar"/>
    <w:link w:val="Title3"/>
    <w:rsid w:val="00CB7283"/>
    <w:rPr>
      <w:rFonts w:asciiTheme="majorHAnsi" w:eastAsiaTheme="majorEastAsia" w:hAnsiTheme="majorHAnsi" w:cs="Times New Roman (Headings CS)"/>
      <w:b w:val="0"/>
      <w:color w:val="64A70B" w:themeColor="accent1"/>
      <w:spacing w:val="-10"/>
      <w:kern w:val="28"/>
      <w:sz w:val="72"/>
      <w:szCs w:val="56"/>
    </w:rPr>
  </w:style>
  <w:style w:type="paragraph" w:customStyle="1" w:styleId="TitleSubhead">
    <w:name w:val="Title Subhead"/>
    <w:basedOn w:val="Normal"/>
    <w:next w:val="Normal"/>
    <w:link w:val="TitleSubheadChar"/>
    <w:qFormat/>
    <w:rsid w:val="00CB7283"/>
    <w:rPr>
      <w:i/>
      <w:iCs/>
      <w:color w:val="64A70B" w:themeColor="accent1"/>
      <w:sz w:val="32"/>
      <w:szCs w:val="32"/>
    </w:rPr>
  </w:style>
  <w:style w:type="character" w:customStyle="1" w:styleId="Title4Char">
    <w:name w:val="Title 4 Char"/>
    <w:basedOn w:val="TitleChar"/>
    <w:link w:val="Title4"/>
    <w:rsid w:val="00CB7283"/>
    <w:rPr>
      <w:rFonts w:asciiTheme="majorHAnsi" w:eastAsiaTheme="majorEastAsia" w:hAnsiTheme="majorHAnsi" w:cs="Times New Roman (Headings CS)"/>
      <w:b w:val="0"/>
      <w:caps/>
      <w:color w:val="64A70B" w:themeColor="accent1"/>
      <w:spacing w:val="-10"/>
      <w:kern w:val="28"/>
      <w:sz w:val="72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7283"/>
    <w:rPr>
      <w:rFonts w:eastAsiaTheme="majorEastAsia" w:cstheme="majorBidi"/>
      <w:color w:val="000000" w:themeColor="text1"/>
      <w:sz w:val="36"/>
    </w:rPr>
  </w:style>
  <w:style w:type="character" w:customStyle="1" w:styleId="TitleSubheadChar">
    <w:name w:val="Title Subhead Char"/>
    <w:basedOn w:val="DefaultParagraphFont"/>
    <w:link w:val="TitleSubhead"/>
    <w:rsid w:val="00CB7283"/>
    <w:rPr>
      <w:rFonts w:ascii="Cambria" w:hAnsi="Cambria"/>
      <w:i/>
      <w:iCs/>
      <w:color w:val="64A70B" w:themeColor="accent1"/>
      <w:sz w:val="32"/>
      <w:szCs w:val="32"/>
    </w:rPr>
  </w:style>
  <w:style w:type="paragraph" w:customStyle="1" w:styleId="HeadingCAPSg">
    <w:name w:val="Heading CAPS g"/>
    <w:basedOn w:val="Heading1"/>
    <w:next w:val="Normal"/>
    <w:link w:val="HeadingCAPSgChar"/>
    <w:qFormat/>
    <w:rsid w:val="00CB7283"/>
    <w:rPr>
      <w:rFonts w:cs="Times New Roman (Headings CS)"/>
      <w:caps/>
      <w:szCs w:val="36"/>
    </w:rPr>
  </w:style>
  <w:style w:type="paragraph" w:customStyle="1" w:styleId="HeadingCAPSb">
    <w:name w:val="Heading CAPS b"/>
    <w:basedOn w:val="Heading2"/>
    <w:next w:val="Normal"/>
    <w:link w:val="HeadingCAPSbChar"/>
    <w:qFormat/>
    <w:rsid w:val="00191036"/>
    <w:rPr>
      <w:rFonts w:cs="Times New Roman (Headings CS)"/>
      <w:caps/>
      <w:szCs w:val="36"/>
    </w:rPr>
  </w:style>
  <w:style w:type="character" w:customStyle="1" w:styleId="HeadingCAPSgChar">
    <w:name w:val="Heading CAPS g Char"/>
    <w:basedOn w:val="Heading1Char"/>
    <w:link w:val="HeadingCAPSg"/>
    <w:rsid w:val="00CB7283"/>
    <w:rPr>
      <w:rFonts w:eastAsiaTheme="majorEastAsia" w:cs="Times New Roman (Headings CS)"/>
      <w:caps/>
      <w:color w:val="00A9CE" w:themeColor="accent3"/>
      <w:sz w:val="36"/>
      <w:szCs w:val="36"/>
    </w:rPr>
  </w:style>
  <w:style w:type="paragraph" w:customStyle="1" w:styleId="HeadingCAPSK">
    <w:name w:val="Heading CAPS K"/>
    <w:basedOn w:val="Heading3"/>
    <w:next w:val="Normal"/>
    <w:link w:val="HeadingCAPSKChar"/>
    <w:qFormat/>
    <w:rsid w:val="00191036"/>
    <w:rPr>
      <w:rFonts w:cs="Times New Roman (Headings CS)"/>
      <w:caps/>
      <w:szCs w:val="36"/>
    </w:rPr>
  </w:style>
  <w:style w:type="character" w:customStyle="1" w:styleId="HeadingCAPSbChar">
    <w:name w:val="Heading CAPS b Char"/>
    <w:basedOn w:val="Heading2Char"/>
    <w:link w:val="HeadingCAPSb"/>
    <w:rsid w:val="00191036"/>
    <w:rPr>
      <w:rFonts w:eastAsiaTheme="majorEastAsia" w:cs="Times New Roman (Headings CS)"/>
      <w:caps/>
      <w:color w:val="64A70B" w:themeColor="accent1"/>
      <w:sz w:val="36"/>
      <w:szCs w:val="36"/>
    </w:rPr>
  </w:style>
  <w:style w:type="paragraph" w:customStyle="1" w:styleId="Subheading">
    <w:name w:val="Subheading"/>
    <w:basedOn w:val="Normal"/>
    <w:qFormat/>
    <w:rsid w:val="00191036"/>
    <w:rPr>
      <w:color w:val="000000" w:themeColor="text1"/>
      <w:sz w:val="24"/>
      <w:szCs w:val="36"/>
    </w:rPr>
  </w:style>
  <w:style w:type="character" w:customStyle="1" w:styleId="HeadingCAPSKChar">
    <w:name w:val="Heading CAPS K Char"/>
    <w:basedOn w:val="Heading3Char"/>
    <w:link w:val="HeadingCAPSK"/>
    <w:rsid w:val="00191036"/>
    <w:rPr>
      <w:rFonts w:eastAsiaTheme="majorEastAsia" w:cs="Times New Roman (Headings CS)"/>
      <w:caps/>
      <w:color w:val="000000" w:themeColor="text1"/>
      <w:sz w:val="36"/>
      <w:szCs w:val="36"/>
    </w:rPr>
  </w:style>
  <w:style w:type="character" w:styleId="SubtleEmphasis">
    <w:name w:val="Subtle Emphasis"/>
    <w:basedOn w:val="DefaultParagraphFont"/>
    <w:uiPriority w:val="19"/>
    <w:qFormat/>
    <w:rsid w:val="00191036"/>
    <w:rPr>
      <w:rFonts w:asciiTheme="majorHAnsi" w:hAnsiTheme="majorHAnsi"/>
      <w:i/>
      <w:iCs/>
      <w:color w:val="404040" w:themeColor="text1" w:themeTint="BF"/>
      <w:sz w:val="20"/>
    </w:rPr>
  </w:style>
  <w:style w:type="character" w:styleId="Emphasis">
    <w:name w:val="Emphasis"/>
    <w:basedOn w:val="DefaultParagraphFont"/>
    <w:uiPriority w:val="20"/>
    <w:qFormat/>
    <w:rsid w:val="00191036"/>
    <w:rPr>
      <w:rFonts w:asciiTheme="minorHAnsi" w:hAnsiTheme="minorHAnsi"/>
      <w:i/>
      <w:iCs/>
      <w:sz w:val="20"/>
    </w:rPr>
  </w:style>
  <w:style w:type="character" w:styleId="IntenseEmphasis">
    <w:name w:val="Intense Emphasis"/>
    <w:basedOn w:val="DefaultParagraphFont"/>
    <w:uiPriority w:val="21"/>
    <w:qFormat/>
    <w:rsid w:val="00191036"/>
    <w:rPr>
      <w:rFonts w:asciiTheme="minorHAnsi" w:hAnsiTheme="minorHAnsi"/>
      <w:b/>
      <w:i/>
      <w:iCs/>
      <w:color w:val="64A70B" w:themeColor="accent1"/>
      <w:sz w:val="20"/>
    </w:rPr>
  </w:style>
  <w:style w:type="character" w:styleId="Strong">
    <w:name w:val="Strong"/>
    <w:basedOn w:val="DefaultParagraphFont"/>
    <w:uiPriority w:val="22"/>
    <w:qFormat/>
    <w:rsid w:val="00191036"/>
    <w:rPr>
      <w:rFonts w:ascii="Cambria" w:hAnsi="Cambria"/>
      <w:b/>
      <w:bCs/>
      <w:i w:val="0"/>
      <w:sz w:val="22"/>
    </w:rPr>
  </w:style>
  <w:style w:type="character" w:styleId="SubtleReference">
    <w:name w:val="Subtle Reference"/>
    <w:basedOn w:val="DefaultParagraphFont"/>
    <w:uiPriority w:val="31"/>
    <w:qFormat/>
    <w:rsid w:val="004C3584"/>
    <w:rPr>
      <w:rFonts w:asciiTheme="minorHAnsi" w:hAnsiTheme="minorHAnsi"/>
      <w:smallCaps/>
      <w:color w:val="5A5A5A" w:themeColor="text1" w:themeTint="A5"/>
      <w:sz w:val="21"/>
    </w:rPr>
  </w:style>
  <w:style w:type="paragraph" w:styleId="ListParagraph">
    <w:name w:val="List Paragraph"/>
    <w:basedOn w:val="Normal"/>
    <w:uiPriority w:val="34"/>
    <w:qFormat/>
    <w:rsid w:val="004C3584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4C3584"/>
    <w:rPr>
      <w:rFonts w:ascii="Cambria" w:hAnsi="Cambria"/>
      <w:b/>
      <w:bCs/>
      <w:i/>
      <w:iCs/>
      <w:spacing w:val="5"/>
    </w:rPr>
  </w:style>
  <w:style w:type="paragraph" w:customStyle="1" w:styleId="Paragraph">
    <w:name w:val="Paragraph"/>
    <w:basedOn w:val="Normal"/>
    <w:qFormat/>
    <w:rsid w:val="003D17EE"/>
  </w:style>
  <w:style w:type="paragraph" w:styleId="NormalWeb">
    <w:name w:val="Normal (Web)"/>
    <w:basedOn w:val="Normal"/>
    <w:uiPriority w:val="99"/>
    <w:unhideWhenUsed/>
    <w:rsid w:val="00343A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character" w:styleId="Hyperlink">
    <w:name w:val="Hyperlink"/>
    <w:basedOn w:val="DefaultParagraphFont"/>
    <w:uiPriority w:val="99"/>
    <w:semiHidden/>
    <w:unhideWhenUsed/>
    <w:rsid w:val="00343A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arco\AppData\Local\Temp\Templafy\WordVsto\l3vjmimr.dotx" TargetMode="External"/></Relationships>
</file>

<file path=word/theme/theme1.xml><?xml version="1.0" encoding="utf-8"?>
<a:theme xmlns:a="http://schemas.openxmlformats.org/drawingml/2006/main" name="Office Theme">
  <a:themeElements>
    <a:clrScheme name="OSF HealthCare">
      <a:dk1>
        <a:srgbClr val="000000"/>
      </a:dk1>
      <a:lt1>
        <a:srgbClr val="FFFFFF"/>
      </a:lt1>
      <a:dk2>
        <a:srgbClr val="A2C96C"/>
      </a:dk2>
      <a:lt2>
        <a:srgbClr val="FEFFFF"/>
      </a:lt2>
      <a:accent1>
        <a:srgbClr val="64A70B"/>
      </a:accent1>
      <a:accent2>
        <a:srgbClr val="A2C96C"/>
      </a:accent2>
      <a:accent3>
        <a:srgbClr val="00A9CE"/>
      </a:accent3>
      <a:accent4>
        <a:srgbClr val="80D2E7"/>
      </a:accent4>
      <a:accent5>
        <a:srgbClr val="D5D5D5"/>
      </a:accent5>
      <a:accent6>
        <a:srgbClr val="929292"/>
      </a:accent6>
      <a:hlink>
        <a:srgbClr val="007F9B"/>
      </a:hlink>
      <a:folHlink>
        <a:srgbClr val="4E820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TemplateConfiguration><![CDATA[{"elementsMetadata":[],"transformationConfigurations":[],"templateName":"OSF Blank","templateDescription":"","enableDocumentContentUpdater":false,"version":"2.0"}]]></TemplafyTemplateConfiguration>
</file>

<file path=customXml/item2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EF094E1B-7920-4D5D-9687-FB42623209CC}">
  <ds:schemaRefs/>
</ds:datastoreItem>
</file>

<file path=customXml/itemProps2.xml><?xml version="1.0" encoding="utf-8"?>
<ds:datastoreItem xmlns:ds="http://schemas.openxmlformats.org/officeDocument/2006/customXml" ds:itemID="{91A2FF83-8008-4583-B340-AB70F0BB2A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l3vjmimr</Template>
  <TotalTime>6</TotalTime>
  <Pages>1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Arco, Paul A.</dc:creator>
  <cp:keywords/>
  <dc:description/>
  <cp:lastModifiedBy>Arco, Paul A.</cp:lastModifiedBy>
  <cp:revision>1</cp:revision>
  <cp:lastPrinted>2025-03-26T20:54:00Z</cp:lastPrinted>
  <dcterms:created xsi:type="dcterms:W3CDTF">2025-03-26T20:49:00Z</dcterms:created>
  <dcterms:modified xsi:type="dcterms:W3CDTF">2025-03-26T20:55:00Z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osfhealthcare</vt:lpwstr>
  </property>
  <property fmtid="{D5CDD505-2E9C-101B-9397-08002B2CF9AE}" pid="3" name="TemplafyTemplateId">
    <vt:lpwstr>637968892157064039</vt:lpwstr>
  </property>
  <property fmtid="{D5CDD505-2E9C-101B-9397-08002B2CF9AE}" pid="4" name="TemplafyUserProfileId">
    <vt:lpwstr>637584105719459410</vt:lpwstr>
  </property>
  <property fmtid="{D5CDD505-2E9C-101B-9397-08002B2CF9AE}" pid="5" name="TemplafyFromBlank">
    <vt:bool>true</vt:bool>
  </property>
</Properties>
</file>